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b06f" w14:textId="578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Мойынкумкого районного маслихата Жамбылской области от 27 декабря 2021 года № 13-2. Зарегистрировано в Министерстве юстиции Республики Казахстан 31 декабря 2021 года № 26322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10 345 557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1 723 331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19 969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73 218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8 529 039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10 650 779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72 382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56 264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-377 604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377 604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128 646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56 264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305 222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Мойынкумского районного маслихата Жамбылской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2022 год в размере 30 процентов.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2022 год в размере 70 процентов.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 субвенции передаваемые из областного бюджета в районный бюджет на 2022 год в сумме 6 458 661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84434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39284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37889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60145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31526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46399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26511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30809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29340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30229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30911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30658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36349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21655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32379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36919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2022 год бюджетам сельских округов предусмотреть целевые текущие трансферты за счет средств областного бюджета, распределение которых определяются на основании постановления акима Мойынкумского района.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районном бюджете на 2022 год бюджетам сельских округов предусмотреть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объеме 37725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Мойынкумского районного маслихата Жамбылской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№13-2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