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04e4" w14:textId="4d50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 от 19 марта 2021 года № 184 "Об утверждении объемов субсидий на развитие племенного животноводства, повышение продуктивности и качества продукции животноводства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декабря 2021 года № 1552. Зарегистрировано в Министерстве юстиции Республики Казахстан 10 декабря 2021 года № 25725.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марта 2021 года № 184 "Об утверждении объемов субсидий на развитие племенного животноводства, повышение продуктивности и качества продукции животноводства на 2021 год" (зарегистрирован в Реестре государственной регистрации нормативных правовых актов за № 157)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приложению 1 к настоящему постановлению."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1.1.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 №184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66 373 180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импортированный из Австралии, стран Северной и Южной Америки, стран Европы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251 109 000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 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