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2e55" w14:textId="04c2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Айтекебийского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марта 2021 года № 11. Зарегистрировано Департаментом юстиции Актюбинской области 12 марта 2021 года № 8107. Утратило силу решением Айтекебийского районного маслихата Актюбинской области от 13 апреля 2023 года № 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13.04.2023 № 13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Указом Президента Республики Казахстан от 29 декабря 2015 года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№ 16299)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Айтекебийского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 марта 2018 года № 197 "Об утверждении методики оценки деятельности административных государственных служащих корпуса "Б" государственного учреждения "Аппарат Айтекебийского районного маслихата" (зарегистрированное в реестре государственной регистрации нормативных правовых актов № 3-2-146, опубликованное 30 марта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Айтекебийского районного маслихата от 10 марта 2021 года № 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Айтекебийского районного маслихата"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Айтекебийского районного маслихата" (далее – аппарат маслихата)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методика),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государственного учреждения "Аппарат Айтекебийского районного маслихата" (далее – служащие корпуса "Б").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 годовым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структурное подразделение аппарата маслихата, в функциональные обязанности которого входит ведение работы кадровой службы.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в течение трех лет со дня завершения оценки хранятся у руководителя структурного подразделения аппарата маслихата, в функциональные обязанности которого входит ведение работы кадровой службы (далее – руководитель структурного подразделения).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 с соответствующими КЦИ, он вносится на рассмотрение вышестоящему руководителю для утверждения.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годового плана государственного учреждения "Аппарат Айтекебийского районного маслихата.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маслихата.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и подписывает его.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структурного подразделения не позднее 2 рабочих дней выносит его на рассмотрение Комиссии.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руководитель структурного подразделения не позднее 2 рабочих дней выносит его на рассмотрение Комиссии.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структурного подразделения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распоряжении о создании Комиссии.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руководитель структурного подразделения. Секретарь Комиссии не принимает участие в голосовании.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структурного подразделения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структурного подразделения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структурного подразделения ознакамливает служащего корпуса "Б" с результатами оценки в течение двух рабочих дней со дня ее завершения.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структурного подразделения и двумя другими служащими государственного органа.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решения Айтекебийского районного маслихата Актюбинской области от 29.03.2022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решением Айтекебийского районного маслихата Актюбинской области от 29.03.2022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