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e887" w14:textId="0e9e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февраля 2021 года № 16. Зарегистрировано Департаментом юстиции Актюбинской области 2 марта 2021 года № 8075.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выпаса сельскохозяйственных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областного маслихата от 24 февраля 2021 года № 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по Актюбинской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по Актюбинской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145, зарегистрированным в Реестре государственной регистрации нормативных правовых актов № 20540 и определяют порядок выпаса сельскохозяйственных животных.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безнадзорное животное - животное, которое находится вне места содержания и за которым утрачен контроль со стороны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временного содержания животных - имущественный комплекс, специально предназначенный и оборудованный для временного содержания найденных, безнадзорных, изъятых или иным образом отчужденных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поголовья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30 января 2015 года № 7-1/68 (зарегистрированным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сенокошения и пастьбы скота на участках государственного лесного фонда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12 октября 2015 года №18-02/909 зарегистрированным в Реестре государственной регистрации нормативных правовых актов Республики Казахстан № 12259.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решениями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приурочивается к периоду устойчивого перехода температуры воздуха выше +10 градусов по Цельсию.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применяются системы сезонного и круглогодичного выпаса сельскохозяйственных животных на пастбищах.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круглогодичной системе выпаса сельскохозяйственные животные находятся на пастбищах круглый год,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Исключен решением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всем пути перегона сельскохозяйственных животных не допускается смешивание групп.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4-5% всей обслуживаемой территории.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Радиус водопоя сельскохозяйственных животных на равнинной местности пастбищ составляет: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районов, города областного значения обеспечивают: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перед началом пастбищного периода о проведении мероприятий по рациональному использованию пастбищ и представление ежегодного отчета об итогах его реализации в конце года местному представительному органу района, города областного значения.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Акимы районов городов областного значения, городов районного значения, поселка, села, сельского округа перед началом пастбищного периода: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строительство и ежегодное финансирование содержания мест (стоянок) для временного содержания безнадзорных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животным условия, соответствующие ветеринарным-санитарным нормам, также с учетом соблюдения санитарно - эпидемиологических правил и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идентификацию сельскохозяйственных животных;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места огражденные для сбора и обработки сельскохозяйственных животных и финансируются бюджетами соответствующих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маршруты прогона сельскохозяйственных животных внутри населенного пункта до места сбора стада, участков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участки для выпаса сельскохозяйственных животных на пастбищах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участки для выпаса сельскохозяйственных животных на отгонных пастбищах по видам и половозрастным группам.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решением Актюбинского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сельскохозяйственных животных, либо уполномоченные ими лица организуют: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 за соблюдением настоящих Правил и принятие мер в пределах своей компетенции осуществляют органы внутренних дел, акимы районов городов областного значения, городов районного значения, поселков, сел, сельских округов.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