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ec36" w14:textId="e5be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11 февраля 2021 года № 13/2-7. Зарегистрировано Департаментом юстиции Акмолинской области 22 февраля 2021 года № 8363. Утратило силу решением Целиноградского районного маслихата Акмолинской области от 1 марта 2024 года № 143/18-8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143/18-8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Целиноградском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13/2-7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Целиноградском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Целиноградском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 Целиноградского района" (далее – уполномоченный орган).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утвержденных приказом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Целиноградского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69/9-8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Целиноградского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69/9-8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 (десять) процентов.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Целиноградского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69/9-8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Целиноградского районного маслихата Акмолинской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69/9-8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норму расхода электрической энергии 70 (семьдесят) киловатт на одного человека в месяц.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и/или посредством веб-портала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производится на полный текущий квартал, при этом совокупный доход семьи (гражданина) и расходы на коммунальные услуги учитываются за истекший квартал, за исключением семей (граждан), имеющих в частной собственности более одной единицы жилья (квартиры, дома) или сдающих жилые помещения в наем (поднаем).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 уполномоченный орган заведомо недостоверных сведений, повлекших за собой назначение завышенной или незаконной жилищной помощи, малообеспеченная семья (гражданин) возвращает незаконно полученную сумму в добровольном порядке, а в случае отказа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