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2c607" w14:textId="1d2c6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Жаркаинского районного маслихата от 11 декабря 2020 года № 6С-64/2 "Об определении размера и порядка оказания жилищной помощи в Жаркаинском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Жаркаинского районного маслихата Акмолинской области от 14 апреля 2021 года № 7С-8/3. Зарегистрировано Департаментом юстиции Акмолинской области 21 апреля 2021 года № 8442. Утратило силу решением Жаркаинского районного маслихата Акмолинской области от 24 июня 2024 года № 8С-29/2</w:t>
      </w:r>
    </w:p>
    <w:p>
      <w:pPr>
        <w:spacing w:after="0"/>
        <w:ind w:left="0"/>
        <w:jc w:val="both"/>
      </w:pPr>
      <w:r>
        <w:rPr>
          <w:rFonts w:ascii="Times New Roman"/>
          <w:b w:val="false"/>
          <w:i w:val="false"/>
          <w:color w:val="ff0000"/>
          <w:sz w:val="28"/>
        </w:rPr>
        <w:t xml:space="preserve">
      Сноска. Утратило силу решением Жаркаинского районного маслихата Акмолинской области от 24.06.2024 </w:t>
      </w:r>
      <w:r>
        <w:rPr>
          <w:rFonts w:ascii="Times New Roman"/>
          <w:b w:val="false"/>
          <w:i w:val="false"/>
          <w:color w:val="ff0000"/>
          <w:sz w:val="28"/>
        </w:rPr>
        <w:t>№ 8С-29/2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 жилищных отношениях",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Жаркаинский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Жаркаинского районного маслихата "Об определении размера и порядка оказания жилищной помощи в Жаркаинском районе" от 11 декабря 2020 года № 6С-64/2 (зарегистрировано в Реестре государственной регистрации нормативных правовых актов № 8278)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к указанному приложению изложить в новой редакции:</w:t>
      </w:r>
    </w:p>
    <w:p>
      <w:pPr>
        <w:spacing w:after="0"/>
        <w:ind w:left="0"/>
        <w:jc w:val="both"/>
      </w:pPr>
      <w:r>
        <w:rPr>
          <w:rFonts w:ascii="Times New Roman"/>
          <w:b w:val="false"/>
          <w:i w:val="false"/>
          <w:color w:val="000000"/>
          <w:sz w:val="28"/>
        </w:rPr>
        <w:t>
      "4. Доля предельно допустимых расходов на оплату:</w:t>
      </w:r>
    </w:p>
    <w:p>
      <w:pPr>
        <w:spacing w:after="0"/>
        <w:ind w:left="0"/>
        <w:jc w:val="both"/>
      </w:pPr>
      <w:r>
        <w:rPr>
          <w:rFonts w:ascii="Times New Roman"/>
          <w:b w:val="false"/>
          <w:i w:val="false"/>
          <w:color w:val="000000"/>
          <w:sz w:val="28"/>
        </w:rPr>
        <w:t>
      расходов на управление объектом кондоминиума и содержание общего имущества объекта кондоминиума, в том числе на капитальный ремонт общего имущества объекта кондоминиума;</w:t>
      </w:r>
    </w:p>
    <w:p>
      <w:pPr>
        <w:spacing w:after="0"/>
        <w:ind w:left="0"/>
        <w:jc w:val="both"/>
      </w:pP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w:t>
      </w:r>
    </w:p>
    <w:p>
      <w:pPr>
        <w:spacing w:after="0"/>
        <w:ind w:left="0"/>
        <w:jc w:val="both"/>
      </w:pPr>
      <w:r>
        <w:rPr>
          <w:rFonts w:ascii="Times New Roman"/>
          <w:b w:val="false"/>
          <w:i w:val="false"/>
          <w:color w:val="000000"/>
          <w:sz w:val="28"/>
        </w:rPr>
        <w:t>
      расходов за пользование жилищем из государственного жилищного фонда и жилищем, арендованным местным исполнительным органом в частном жилищном фонде устанавливается в размере 11 (одиннадцати) процентов к совокупному доходу семьи (гражданина).</w:t>
      </w:r>
    </w:p>
    <w:p>
      <w:pPr>
        <w:spacing w:after="0"/>
        <w:ind w:left="0"/>
        <w:jc w:val="both"/>
      </w:pPr>
      <w:r>
        <w:rPr>
          <w:rFonts w:ascii="Times New Roman"/>
          <w:b w:val="false"/>
          <w:i w:val="false"/>
          <w:color w:val="000000"/>
          <w:sz w:val="28"/>
        </w:rPr>
        <w:t>
      Расходы малообеспеченных семей (граждан), принимаемые к исчислению жилищной помощи, определяется как сумма расходов по каждому из вышеуказанных направлений.";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к указанному приложению изложить в новой редакции:</w:t>
      </w:r>
    </w:p>
    <w:p>
      <w:pPr>
        <w:spacing w:after="0"/>
        <w:ind w:left="0"/>
        <w:jc w:val="both"/>
      </w:pPr>
      <w:r>
        <w:rPr>
          <w:rFonts w:ascii="Times New Roman"/>
          <w:b w:val="false"/>
          <w:i w:val="false"/>
          <w:color w:val="000000"/>
          <w:sz w:val="28"/>
        </w:rPr>
        <w:t>
      "5.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и предельно допустимым уровнем расходов малообеспеченных семей (граждан) на эти цели, установленным местным представительным органом. За норму площади жилья, обеспечиваемую компенсационными мерами принимается 18 (восемнадцать) квадратных метров на человека. Для одиноко проживающих граждан за норму площади жилья, обеспечиваемую компенсационными мерами принимается 30 (тридцать) квадратных метров.";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к указанному приложению изложить в новой редакции:</w:t>
      </w:r>
    </w:p>
    <w:p>
      <w:pPr>
        <w:spacing w:after="0"/>
        <w:ind w:left="0"/>
        <w:jc w:val="both"/>
      </w:pPr>
      <w:r>
        <w:rPr>
          <w:rFonts w:ascii="Times New Roman"/>
          <w:b w:val="false"/>
          <w:i w:val="false"/>
          <w:color w:val="000000"/>
          <w:sz w:val="28"/>
        </w:rPr>
        <w:t>
      "9. Для назначения жилищной помощи малообеспеченная семья (гражданин) (либо его представитель по нотариально заверенной доверенности) обращается в Государственную корпорацию "Правительство для граждан" и/или посредством веб-портала "электронного правительства", согласно Правилам предоставления жилищной помощи, утвержденным постановлением Правительства Республики Казахстан от 30 декабря 2009 года № 2314 "Об утверждении Правил предоставления жилищной помощи".".</w:t>
      </w:r>
    </w:p>
    <w:bookmarkStart w:name="z6" w:id="2"/>
    <w:p>
      <w:pPr>
        <w:spacing w:after="0"/>
        <w:ind w:left="0"/>
        <w:jc w:val="both"/>
      </w:pP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p>
          <w:p>
            <w:pPr>
              <w:spacing w:after="20"/>
              <w:ind w:left="20"/>
              <w:jc w:val="both"/>
            </w:pPr>
          </w:p>
          <w:p>
            <w:pPr>
              <w:spacing w:after="20"/>
              <w:ind w:left="20"/>
              <w:jc w:val="both"/>
            </w:pPr>
            <w:r>
              <w:rPr>
                <w:rFonts w:ascii="Times New Roman"/>
                <w:b w:val="false"/>
                <w:i/>
                <w:color w:val="000000"/>
                <w:sz w:val="20"/>
              </w:rPr>
              <w:t>Жаркаинского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Р.Садвакасова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Жаркаинского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А.Альжанов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Акимат Жаркаинского района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