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3be2" w14:textId="5073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гематологической помощи взрослому населению Республики Казахстан и внесении изменений и дополнений в приказ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декабря 2021 года № ҚР ДСМ-130. Зарегистрирован в Министерстве юстиции Республики Казахстан 22 декабря 2021 года № 25880.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Министра здравоохранения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гематологической помощи взрослому населению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 (зарегистрирован в Реестре государственной регистрации нормативных правовых актов под № 21683)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реципиенту, утвержденные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термины и определения: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изъятие органов (части органа) и (или) тканей (части ткани) - хирургическая операция по извлечению одного или более органов (части органа) и (или) тканей (части ткани) у донора с целью трансплантации реципиенту;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заготовка органов (части органа) и (или) тканей (части ткани) - операционное мероприятие по мобилизации органов (части органа) и (или) тканей (части ткани) с целью последующей консервации;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кондиционирование органов (части органа) и (или) тканей (части ткани) – комплекс мероприятий по поддержанию показателей гемодинамики посмертного донора с целью защиты органов от ишемии;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консервация органов (части органа) и (или) тканей (части ткани) - совокупность мер, обеспечивающих защиту клеток органов (части органа) и (или) тканей (части ткани) от внутреннего и внешнего воздействия, с целью сохранения жизнедеятельности органов (части органа) и (или) тканей (части ткани);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органов (части органа) и (или) тканей (части ткани) - совокупность мероприятий, направленных на максимальное сохранение жизнеспособности клеток органов (части органа) и (или) тканей (части ткани) до момента трансплантации;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транспортировка органов (части органа) и (или) тканей (части ткани) - комплекс мероприятий по доставке органов (части органа) и (или) тканей (части ткани) для хранения и трансплантации;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реципиент – пациент, который нуждается в трансплантации органов (части органа) и (или) тканей (части ткани);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вакутейнер – одноразовое изделие медицинского назначения, предназначенное для забора проб биологического материала;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гемакон – одноразовый специализированный контейнер для сбора и хранения крови, клеток;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гемопоэтические стволовые клетки –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аллогенная 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аллогенная неродственная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неродственного донора;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аутологичная трансплантация гемопоэтических стволовых клеток (костного мозга) – пересадка собственных гемопоэтических стволовых клеток (периферической крови, пуповинной крови, костного мозга);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гаплоидентичная трансплантация гемопоэтических стволовых клеток (костного мозга) – пересадка донорских иммунологически частично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трансплантация гемопоэтических стволовых клеток – пересадка донорских или собственных гемопоэтических стволовых клеток (периферической крови, пуповинной крови, костного мозга);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здравоохранения (далее -уполномоченный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донорская организация – организация здравоохранения, в которой осуществляется изъятие и консервация органов (части органа) и (или) тканей (части ткани) от трупов с целью трансплантации;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система проведения иммунологического типирования (далее - система-НLА) – система антигенов,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тканей (части ткани);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иммунологическая совместимость – сходство гемопоэтических стволовых клеток донора и потенциального реципиента по специфическим антигенам системы-HLA, определяющее совместимость донора и реципиента при трансплантации гемопоэтических стволовых клеток;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криоконсервирование (криогенное хранение, криохранение) – низкотемпературное хранение живых биологических материалов с возможностью восстановления их биологических функций после размораживания;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криоконтейнер – специализированный сосуд для низкотемпературного хранения живых биологических материалов;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криопротекторы – вещества, защищающие живые биологические материалы от повреждающего действия замораживания;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криопробирка – специализированный сосуд цилиндрической формы, имеющий полукруглое, коническое или плоское дно, предназначенный для низкотемпературного хранения и исследования живых биологических материалов;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миелоэксфузия – медицинская манипуляция для забора костного мозга из костей таза человека с помощью специализированной иглы;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мононуклеарные клетки – лейкоциты и гемопоэтические стволовые клетки;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республиканский центр трансплантации – организация здравоохранения, подведомственная уполномоченному органу,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республиканский трансплантационный координатор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 в Республике Казахстан, являющийся штатным сотрудником Координационного центра по трансплантации;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репопуляционная способность – способность костного мозга или гемопоэтических стволовых клеток к воспроизведению и увеличению клеточного состава;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реципиент –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ткани) от донора, а также искусственных органов (части органов);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стационарный трансплантационный координатор – врач, являющийся штатным сотрудником донорской организации и находящийся в подчинении регионального трансплантационного координатора по вопросам координации службы трансплантации в соответствующей области, городе республиканского значения, столице;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костный мозг –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комплекс чистых помещений – специально спроектированное, построенное, используемое и укомплектованное специальными инженерными системами и оборудованием помещение или их совокупность с приточно-вытяжной вентиляции с использованием специализированных воздушных фильтров (в зависимости от вида помещения) и обеспечением ламинарных потоков воздуха с разностью давления в разных комнатах с наличием специализированных антибактериальных покрытий стеновых поверхностей, пола и потолка, встроенными системами автоматизированного контроля давления воздуха, шлюзовыми герметичными дверями;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ткань – совокупность клеток и межклеточного вещества, имеющих одинаковые строение, функции и происхождение;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лаборатория тканевого типирования (HLA-лаборатория) – структурное подразделение при государственных медицинских организациях, осуществляющих деятельность в сфере донорства, заготовки крови, ее компонентов и препаратов;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тканевая совместимость – сходство тканей донора и потенциального реципиента по специфическим антигенам системы - HLA, определяющее совместимость донора и реципиента при трансплантации органов (части органа) и (или) тканей (части ткани);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трансплантационная бригада – группа врачей, имеющих сертификат по специальности "общая хирургия" и прошедших переподготовку по специальности "трансплантология", подготовку и (или) переподготовку по заготовке, изъятию, консервации, хранению и транспортировке органов (части органа) и (или) тканей (части ткани), а также другие специалисты, помощь которых необходима для полноценного проведения вышеперечисленных мероприятий;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региональный центр трансплантации – организация здравоохранения, подведомственная управлению здравоохранения областей, городов республиканского значения и столицы Республики Казахстан,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цитаферез – физический метод получения отдельных клеток крови или костного мозга.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4 и 5 следующего содержания: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Особенности организации трансплантации костного мозга и гемопоэтических стволовых клеток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Трансплантация гемопоэтических стволовых клеток и костного мозга (далее – ТГСКиКМ) пациентам, достигшим восемнадцати лет с заболеваниями крови, оказывается в медицинских организациях, имеющих лицензию по подвиду медицинской деятельности "Гематология" в стационарных условиях.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ТГСКиКМ подразделяется на аутологичную, аллогенную родственную, аллогенную неродственную и гаплоидентичную.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Медицинские услуги при ТГСКиКМ оказываются в соответствии с клиническими протоколами.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Аллогенная, гаплоидентичная ТГСКиКМ оказывается в медицинских организациях с наличием одноместных палат и комплексом чистых помещений, реанимационной службой, трансфузиологической поддержкой.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Забор костного мозга и гемопоэтических стволовых клеток периферической крови осуществляются только у живого донора.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Донором костного мозга и гемопоэтических стволовых клеток при проведении аутологичной ТГСКиКМ является сам пациент или донор при проведении аллогенной или гаплоидентичной ТГСКиКМ.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ТГСКИКМ осуществляется: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ранее заготовленных гемопоэтических стволовых клеток самого пациента – при аутологичной ТГСКиКМ;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донора, находящегося в биологической родственной связи с пациентом (реципиентом) при проведении родственной аллогенной и гаплоидентичной ТГСКиКМ;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донора, не находящегося в биологической родственной связи с пациентом (реципиентом) при проведении аллогенной неродственной ТГСКиКМ.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Планирование ТГСКиКМ осуществляет врач гематолог на вторичном уровне, наблюдающий пациента в медицинских организациях в амбулаторных, стационарозамещающих и стационарных условиях. Показание к проведению ТГСКиКМ устанавливается консилиумом соответствующей организации здравоохранения.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наличии показаний к проведению ТГСКиКМ врач гематолог направляет выписку пациента в медицинскую организацию, определенную в базе поставщиков медицинских услуг для оказания высокотехнологичной медицинской помощи в области гематологии.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Медицинская организация, выполняющая ТГСКиКМ в течение трех рабочих дней, отправляет заключение о возможности или противопоказаниях к проведению ТГСКиКМ. При согласовании ТГСКиКМ проводится типирование (при наличии показаний) крови реципиента и доноров в случае аллогенной и гаплоидентичной ТГСКиКМ в медицинской организации, направившей выписку пациента или в иной медицинской организации, где проводится HLA типирование (самостоятельно или в рамках соисполнения).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типирования крови гематолог направляет пациента и потенциальных доноров или соответствующий биологический материал в соответствии с правилами направления и транспортировки биоматериалов для проведения типирования, утверждаемые медицинской организацией.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типирования крови направляются в медицинскую организацию, являющуюся заказчиком данной услуги или пациенту.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Планирование даты госпитализации донора на обследование осуществляется в случае наличия совместимых доноров в соответствии с клиническим протоколом, отсутствии противопоказаний гематолога, наблюдающего пациента. Дата госпитализации пациента, согласовывается с медицинской организацией, осуществляющей ТГСКиКМ.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Описание медицинской организации, оказывающей высокотехнологичную медицинскую помощь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Организация, осуществляющая типирование в случае отсутствия совместимых доноров, производит предварительный поиск донора в доступных базах данных доноров.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отсутствия донора в доступных базах, организация, осуществляющая типирование оповещает организацию, планирующую проведение ТГСКиКМ.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Организация процессов поиска и активации доноров гемопоэтических стволовых клеток, в том числе из международных регистров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ДСМ-119/2020 "Об утверждении правил поиска и активации доноров гемопоэтических стволовых клеток, в том числе из международных регистров и транспортировки гемопоэтических стволовых клеток до реципиента" (зарегистрирован в Реестре государственной регистрации нормативных правовых актов под № 21408) (далее – Приказ № ҚР – 119/2020).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ТГСКиКМ проводится в отделении (блок) трансплантации костного мозга и гемопоэтических стволовых клеток медицинской организации, оказывающей медицинскую помощь в стационарных условиях.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Предтрансплантационная подготовка пациента (реципиента) проводится в соответствии с клиническими протоколами диагностики и лечения.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Общие характеристики выделения, хранения, криоконсервирования, выдачи и транспортировки гемопоэтических стволовых клеток и (или) мононуклеарных клеток для аутологичной и аллогенной трансплантации и (или) трансфузии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Источниками гемопоэтических стволовых клеток (далее – ГСК) являются костный мозг, периферическая кровь, пуповинная (плацентарная кровь).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лимфоцитов для трансфузии реципиенту, используемых в случае рецидива при некоторых заболеваниях, являются костный мозг и периферическая кровь донора.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ГСК и лимфоциты входят в число мононуклеарных клеток (далее – МНК), и методики их заготовки и криоконсервирования являются идентичными.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Заготовка, криоконсервирование, хранение и транспортировка ГСК и (или) МНК осуществляется организациями здравоохранения, имеющих лицензию по специальности "Гематология" и (или) организациях, осуществляющих деятельность в сфере службы крови, независимо от форм собственности.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проведении аллогенной трансплантации ГСК осуществляется определение иммунологической совместимости донора и реципиента.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Подбор донора ГСК из Регистра осуществляется по алгоритму поиска HLA идентичного донора костного мозга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ДСМ-119/2020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Заготовка ГСК и (или) МНК подразделяется на виды: сбор периферических стволовых клеток, миелоэксфузию, сбор пуповинной (плацентарной) крови с последующим процессом переработки (костномозговой взвеси и пуповинной (плацентарной) крови).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Процесс выделения криоконсервирования ГСК и (или) МНК проводится в специально отведенном помещении с соблюдением последовательности этапов технологического процесса.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Все манипуляции, связанные с выделением, консервацией ГСК и (или) МНК, проводят в условиях, снижающих риски бактериального загрязнения, с соблюдением принципов асептики и антисептики, используются стерильные изделия медицинского назначения одноразового применения. Инвазивные манипуляции проводятся при соблюдении стерильности окружающей среды в условиях бокса биологической безопасности II класса.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Донорам ГСК и (или) МНК проводится исследование на трансфузионные инфекции (Вирус иммунодефицита человека-1, 2, вирус гепатита В, С, сифилис).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Лаборатории организаций здравоохранения, осуществляющих деятельность в сфере службы крови, проводят обследование доноров ГСК и (или) МНК по алгоритму,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2020 года № ҚР ДСМ-201/2020 "Об утверждении правил прохождения прижизненным донором органов (части органа) и (или) тканей (части ткани) всестороннего медицинского обследования" (зарегистрирован в Реестре государственной регистрации нормативных правовых актов под № 21677).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положительных результатах тестирования решение о проведении заготовки ГСК и (или) МНК принимается консилиумом медицинской организации с участием не менее двух гематологов, трансфузиолога и наличия письменных информированных согласий донора и реципиента.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определения тактики проведения противовирусной терапии и профилактики цитомегаловируса (далее – ЦМВ) после трансплантации ГСК проводится тестирование на ЦМВ.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случае исследования женщин-доноров ГСК пуповинной (плацентарной) крови в рамках донорского хранения, тестирование на ЦМВ позволяет разграничить ЦМВ-положительных и ЦМВ-отрицательных доноров. Образцы ГСК от ЦМВ-отрицательных доноров выделяются ЦМВ-отрицательным реципиентам, а также для трансплантации младенцам или пациентам с иммунодефицитами.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Контроль стерильности проб образцов ГСК и (или) МНК осуществляется при заготовке и криоконсервировании.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Забор костного мозга, ГСК и (или) МНК для ТГСКиКМ пациентам, достигшим 18 лет, осуществляется медицинскими организациями, имеющими лицензию по специальности "Гематология" и (или) организациях, осуществляющих деятельность в сфере службы крови.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Забор костного мозга, ГСК и (или) МНК у донора, хранение костного мозга и ГСК и (или) МНК осуществляется при наличии информированного согласия донора.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Забор костного мозга путем миелоэксфузии проводится в организациях здравоохранения при наличии лицензии по специальности "Анестезиология-реаниматология".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Забор костного мозга методом миелоэксфузии выполняется врачами гематологами, прошедшими соответствующее обучение в присутствии врача анестезиолога с проведением общей анестезии и условием организации интенсивной медицинской помощи (реанимации).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Процесс переработки костного мозга с целью выделения ГСК проводится в организациях здравоохранения по специальности "Гематология (взрослая)" и(или) организациях здравоохранения, осуществляющих деятельность в сфере службы крови.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Выделение ГСК костного мозга осуществляется методом фракционирования в закрытых стерильных донорских системах с использованием рефрижераторной центрифуги или автоматических клеточных сепараторов. Работа с сепаратором проводится в соответствии с инструкциями производителя.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Фракционирование костного мозга выполняется медицинским персоналом и (или) специалистами с биотехнологическим образованием, прошедшими соответствующее обучение в соответствии с документированными процедурами, утвержденные соответствующей медицинской организацией.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Эритроцитная масса, полученная в процессе переработки костномозговой взвеси, используется для реинфузии донору (аутоэритроциты).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Каждая единица ГСК костного мозга донора оценивается по количеству ядросодержащих клеток и стволовых клеток с маркерами CD 34+ (дополнительно при аллогенной трансплантации – по количеству клеток с маркерами CD3+) на килограмм массы реципиента.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Нативный костный мозг хранится при температуре +20ºС±2ºС до 72 часов с момента его изъятия.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ГСК костного мозга хранятся при температуре +22ºС±2ºС не более 8 часов с момента их выделения, в течение которых направляются в медицинскую организацию, осуществляющую трансплантацию реципиенту ГСК костного мозга донора.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отсрочке в проведении пересадки ГСК костного мозга реципиенту в течение срока более 8 часов проводят криоконсервирование ГСК.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Допускается деление на дозы в зависимости от уровня содержания клеток с маркерами CD34+ и выделение доз с содержанием определҰнного количества клеток с маркерами CD3+ для трансфузии донорских лимфоцитов.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Заготовка ГСК/МНК периферической крови донора осуществляется с информированного письменного согласия методом аппаратного цитафереза с использованием автоматических сепараторов клеток крови. Работа с сепаратором проводится в соответствии с инструкциями производителя.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Процедуру цитафереза производят врачи гематологи, прошедшие специализацию по трансфузиологии или специалисты организации здравоохранения, осуществляющие деятельность в сфере службы крови в соответствии с документированными процедурами, утверждаемые медицинской организацией.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Для обеспечения уровня ГСК для сбора у донора проводится предварительная стимуляция выработки ГСК в условиях медицинской организации, имеющей лицензию по подвиду "Гематология",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Донацию ГСК периферической крови начинают при достижении в крови донора уровня стволовых клеток с маркерами CD34+ 20 клеток в микролитре.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донации повторяется до достижения общего числа CD34+ в конечном продукте не менее 2х106 клеток на килограмм массы реципиента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Каждая единица ГСК периферической крови донора оценивается по количеству ядросодержащих клеток и стволовых клеток с маркерами CD34+ (дополнительно при аллогенной трансплантации – по количеству клеток с маркерами CD3+) на килограмм массы реципиента. Каждая единица донорских лимфоцитов оценивается по количеству ядросодержащих клеток и стволовых клеток с маркерами CD3+.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ГСК и (или) МНК периферической крови хранятся при температуре +22ºС±2ºС не более не более 8 часов с момента заготовки, температуре +4ºС±2ºС от 8 до 72 часов с момента заготовки, в течение которых направляются в медицинскую организацию, осуществляющую трансплантацию реципиенту ГСК периферической крови донора.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невозможности проведения реципиенту пересадки ГСК периферической крови в течение срока более 72 часов, проводится их криоконсервирование.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Производится деление на дозы в зависимости от уровня содержания клеток с маркерами CD34+ и выделение доз с содержанием определҰнного количества клеток с маркерами CD3+ для трансфузии донорских лимфоцитов.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Единица донорских лимфоцитов делится на дозы по количеству клеток с маркерами CD3+ на килограмм массы тела реципиента на одно введение по потребности.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Сбор пуповинной (плацентарной) крови для выделения ГСК проводится у рожениц с обязательного письменного согласия женщины-донора в организации родовспоможения акушерско-гинекологическим персоналом, прошедшими соответствующее обучение в соответствии с утвержденными организацией здравоохранения документированными процедурами.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Сбор пуповинной (плацентарной) крови после рождения ребенка и его отделения от плаценты проводится путем пункции вены плацентарного отрезка пупочного канатика, до момента рождения плаценты, с соблюдением условий асептики и антисептики, самотеком, в гемакон, при постоянном помешивании поступающей крови с консервирующим раствором.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этикетке гемакона указывают следующие данные: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женщины-донора;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сбора пуповинной (плацентарной) крови.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Дополнительно в вакутейнеры с антикоагулянтом набираются пробы пуповинной (плацентарной) крови и периферической крови женщины-донора для лабораторного тестирования. Проводится маркировка пробирок с указанием данных женщины-донора, вида биологического материала и даты забора проб.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Материнская кровь тестируется на трансфузионные инфекции (ВИЧ-1, 2, вирус гепатита В, С, сифилис). При положительных результатах на наличие трансфузионных инфекций соответствующие образцы изымаются и подвергаются утилизации.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Хранение и транспортировка заготовленной пуповинной (плацентарной) крови в банк стволовых клеток осуществляется в термоизолирующих контейнерах при температуре +20°С±2°С в течение не более 48 часов с момента сбора.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Выделение ГСК пуповинной (плацентарной) крови осуществляется методом фракционирования в закрытых стерильных донорских системах с использованием рефрижераторной центрифуги или автоматических клеточных сепараторов. Работа с сепаратором проводится в соответствии с инструкциями производителя.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Процесс переработки пуповинной (плацентарной) крови с целью выделения ГСК проводится в организациях здравоохранения, осуществляющих деятельность в сфере службы крови.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Пригодность дозы пуповинной (плацентарной) крови для дальнейшей переработки определяется в соответствии требованиям порядка их отбора, утвержденного организацией здравоохранения. При выявленных несоответствиях образец пуповинной (плацентарной) крови признается абсолютным браком, списывается и утилизируется.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Фракционирование пуповинной (плацентарной) крови выполняется медицинским персоналом и (или) специалистами с биотехнологическим образованием, прошедшими соответствующее обучение в соответствии с утвержденными организацией здравоохранения документированными процедурами.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Образец ГСК пуповинной (плацентарной) крови оценивается по количеству ядросодержащих клеток и стволовых клеток с маркерами CD34+.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Криоконсервирование и хранение ГСК и (или) МНК осуществляется в полимерных криоконтейнерах (криомешках), которые маркируются этикетками с указанием индивидуального штрих-кода, паспортных данных донора, объема единицы ГСК и (или) МНК, объема криопротектора, даты заготовки, даты криоконсервирования.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Единицу ГСК и (или) МНК замораживают с добавлением раствора криопротектора, массовая доля которой составляет не менее 7 – 10% из расчета на сухой остаток.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дополнительной защиты криоконтейнер с ГСК и (или) МНК упаковывают в оберточный криопротективный мешок и помещают в картонную или металлическую кассету.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заморозке ГСК и (или) МНК снижение температуры проводят пассивно либо с заданной скоростью при использовании программного замораживателя. Работа с программным замораживателем проводится в соответствии с инструкциями производителя.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Кассету с криоконтейнером помещают на криогенное хранение в электрический рефрижератор, обеспечивающий стабильную температуру хранения, не превышающую минус 70ºС, либо в дьюар с жидким азотом, обеспечивающий стабильную температуру хранения, не превышающую минус 120ºС.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Время хранения при температуре ниже минус 120ºС не имеет существенного значения для репопуляционной способности ГСК и (или) МНК, следовательно, срок хранения зависит от потребности медицинской организации, осуществляющей трансплантацию, но не более двадцати лет.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От каждой консервированной единицы ГСК проводят отбор архивного образца ГСК в объеме не менее 1,0 мл, позволяющего провести необходимые тесты в отдаленный период, который хранится в криопробирках под теми же идентификационными данными.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транспортировке ГСК и (или) МНК следует поддерживать температуру хранения, используя термоизолирующие контейнеры с хладагентами и (или) транспортные дьюары соответствующего размера, заполненные жидким азотом.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приеме гемакона с нативными ГСК из зарубежной медицинской организации проводится: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герметичности гемакона, визуальная оценка его содержимого на предмет отсутствия в нем гемолиза, тромбов, признаков бактериальной контаминации, оценка маркировки каждого гемакона, контроль наличия сопроводительной документации с указанием данных донора и образца нативных ГСК (возраст, пол, масса тела, групповая и резус-принадлежность донора, результаты тестирования на трансфузионные инфекции, объем образца, уровень содержания клеток с маркерами CD34+и СD3+), контроль температурного режима при хранении и транспортировке;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гемакона, определение веса образца;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взятие контрольных проб для: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количества ядросодержащих клеток;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клеток с маркерами CD34+и СD3+.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выдаче для транспортировки и (или) проведения трансплантации образец ГСК и (или) МНК снабжается сопроводительной документацией с указанием данных донора и образца нативных ГСК и (или) МНК (идентификационный код, возраст, пол, масса тела, групповая и резус-принадлежность донора, результаты тестирования на трансфузионные инфекции, дата заготовки, объем образца, уровень содержания клеток с маркерами CD34+и СD3+).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аутологичной и (или) родственной аллогенной трансплантации ГСК допустимо указание анкетных данных донора (фамилия, имя, отчество (при его наличии), дата рождения, домашний адрес).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Транспортировка ГСК и (или) МНК осуществляется курьером-представителем организации здравоохранения, имеющей лицензию по подвиду "Гематология" или организации здравоохранения, осуществляющей деятельность в сфере службы крови.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Транспортировка нативных ГСК костного мозга осуществляется в термоизолирующих контейнерах с термометром, при температуре +20ºС±2ºС. Транспортировка нативных ГСК и (или) МНК периферической крови осуществляется в термоизолирующих контейнерах с термометром, при температуре +4ºС±2ºС. Транспортировка термоконтейнеров с ГСК и (или) МНК проводится только в ручной клади. Во время всего периода транспортировки курьером осуществляется надзор за термоконтейнером с целью обеспечения жизнеспособности ГСК. Время транспортировки нативных ГСК не превышает 36 часов с момента их заготовки.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Транспортировка замороженных ГСК и (или) МНК осуществляется при температуре, не превышающую минус 70ºС. Для этих целей используются термоизолирующие контейнеры с хладагентами и (или) транспортные дьюары, заполненные жидким азотом, с соблюдением условий, исключающих их падение, переворачивание, излитие жидкого азота. Время транспортировки замороженных ГСК и (или) МНК не превышает время, за которое могут произойти изменения температурных условий (таяние хладагентов, испарение азота), но не более 72 часов с момента закладки в транспортную тару.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Транспортировка ГСК и (или) МНК осуществляется наземным и воздушным транспортом, включая гражданскую или санитарную авиацию. В случае транспортировки ГСК гражданской авиацией направляется письменное уведомление в авиакомпанию-перевозчик в срок не позднее семи рабочих дней до даты транспортировки.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транспортировке ГСК и (или) МНК соблюдаются условия, исключающие воздействие на них ионизирующего излучения, в том числе рентгеновского.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ДСМ-130</w:t>
            </w:r>
          </w:p>
        </w:tc>
      </w:tr>
    </w:tbl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гематологической помощи взрослому населению в Республике Казахстан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Министра здравоохранения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гематологической помощи взрослому населению Республики Казахстан (далее – Стандарт) разработан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гематологической помощи пациентам, достигшим восемнадцати лет с заболеваниями крови и кроветворных органов, включая злокачественные новообразования лимфоидной, кроветворной и родственных им тканей (далее – заболевания крови) в медицинских организациях вне зависимости от формы собственности и ведомственной принадлежности.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настоящем Стандарте: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амбулаторные условия – условия оказания медицинской помощи,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гематология – раздел медицины, занимающийся изучением болезней крови и кроветворных органов, включая злокачественные новообразования лимфоидной, кроветворной и родственных им тканей;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уровни гематологической помощи - разделение медицинских организаций на соответствующие уровни оказания гематологической помощи пациентам с заболеваниями крови и кроветворных органов, включая злокачественные новообразования лимфоидной и кроветворной ткани в зависимости от сложности оказываемой медицинской технологии, а также распределение их по категориям сложности;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гемопоэтические стволовые клетки –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аллогенная 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аллогенная неродственная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неродственного донора;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аутологичная трансплантация гемопоэтических стволовых клеток (костного мозга) – пересадка собственных гемопоэтических стволовых клеток (периферической крови, пуповинной крови, костного мозга);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гаплоидентичная трансплантация гемопоэтических стволовых клеток (костного мозга) – пересадка донорских иммунологически частично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трансплантация гемопоэтических стволовых клеток – пересадка донорских или собственных гемопоэтических стволовых клеток (периферической крови, пуповинной крови, костного мозга);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 (далее -уполномоченный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здравоохранения – юридическое лицо, осуществляющее деятельность в области здравоохранения;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(далее - ГОБМП) и (или) в системе обязательного социального медицинского страхования (далее - ОСМС),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диагностика – комплекс медицинских услуг, направленных на установление факта наличия или отсутствия заболевания;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высокотехнологичная медицинская услуга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биологический материал доклинических (неклинических) и клинических исследований – образцы биологических жидкостей, тканей, секретов и продуктов жизнедеятельности человека и животных,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предназначенные для лабораторных исследований;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вторичные цитопении – это снижение уровня клеток крови (эритроцитов, лейкоцитов или тромбоцитов), возникающее как следствие других заболеваний или внешних факторов и не является самостоятельной патологией кроветворной системы;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дистанционные медицинские услуги -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центр компетенции – совокупность структур медицинских организаций и (или) самостоятельных медицинских организаций, объединенных с целью организации единого подхода к организации специализированной медицинской помощи, методологической и консультативной помощи специалистам других профилей, планирования объемов и процессов медицинских услуг;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специализированная медицинская помощь – медицинская помощь, которая оказывается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общества, в том числе диагностику, лечение и управление наиболее распространенными заболеваниями; профилактические осмотры целевых групп населения (детей, взрослых); раннее выявление и мониторинг поведенческих факторов риска заболеваний и обучение навыкам снижения выявленных факторов риска; иммунизацию; формирование и пропаганду здорового образа жизни; мероприятия по охране репродуктивного здоровья; наблюдение за беременными и за родильницами в послеродовом периоде; санитарно-противоэпидемические и санитарно-профилактические мероприятия в очагах инфекционных заболеваний;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обязательное социальное медицинское страхование (далее – ОСМС) -комплекс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региональный координатор - ответственное лицо, назначенное для организации, координации и мониторинга гематологической помощи на региональном уровне;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стационарозамещающие условия – условия оказания медицинской помощи, не требующие круглосуточного медицинского наблюдения и лечения, и предусматривающие медицинское наблюдение и лечение в дневное время с предоставлением койко-места;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стационарные условия – условия оказания медицинской помощи, предусматривающие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костный мозг –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регистр доноров костного мозга (далее – Регистр) – перечень лиц, согласных на безвозмездное донорство гемопоэтических стволовых клеток и типированных по системе – НLА;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комплекс чистых помещений – специально спроектированное, построенное, используемое и укомплектованное специальными инженерными системами и оборудованием помещение или их совокупность с приточно-вытяжной вентиляции с использованием специализированных воздушных фильтров (в зависимости от вида помещения) и обеспечением ламинарных потоков воздуха с разностью давления в разных комнатах с наличием специализированных антибактериальных покрытий стеновых поверхностей, пола и потолка, встроенными системами автоматизированного контроля давления воздуха, шлюзовыми герметичными дверями;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химиотерапия – метод лечения с использованием цитостатических лекарственных средств и их антидотов, а также иммуносупрессивных, гормональных, биологических, колониестимулирующих лекарственных средств, включенных в единую программу лечения с целью уменьшения пролиферации клеток организма человека, включая опухолевые клетки, или необратимо их повреждающих;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Медицинская помощь пациентам с заболеваниями крови в организациях здравоохранения включает: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специализированной, в том числе высокотехнологичной, медицинской помощи в соответствии с КП, утвержденными в установленном порядке, с учетом уровней гематологической помощи, установленных настоящим Стандартом;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медико-социальной помощи пациентам c заболеваниями крови, в соответствии с КП, а в случае их отсутствия, в соответствии с наилучшими медицинскими практиками в области гематологии с наличием доказательных критериев;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вводится в действие с 01.01.2026 приказа Министра здравоохранения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мероприятий, входящих в комплекс, мер по поиску и активации донора гемопоэтических стволовых клеток, лимфоцитов, мезенхимальных стволовых клеток, включая медицинской обследование донора согласно требованиям настоящего Стандарта;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 по заготовке, хранению и транспортировке биологических образцов с целью диагностических исследований согласно требованиям настоящего Стандарта;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вводится в действие с 01.01.2026 приказа Министра здравоохранения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мероприятий, входящих в комплекс, мер по переливанию крови и ее компонентов, совместно с медицинскими организациями и (или) специалистами, осуществляющими деятельность в сфере службы крови;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регистра доноров костного мозга.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пациентам с заболеваниями крови в организациях здравоохранения осуществляется: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за счет собственных средств граждан, средств добровольного медицинского страхования, средств работодателей и других источников, не запрещенных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Оснащение медицинскими изделиями медицинских организаций, оказывающих гематологическую помощь населению Республики Казахстан в рамках ГОБМП и в системе ОСМС, осуществляется в соответствии с приложением 1 к настоящему Стандарту.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Лекарственное обеспечение пациентов с заболеваниями крови с целью лечения заболеваний крови и кроветворных органов осуществляется в соответствии с КП, а в случае их отсутствия, в соответствии с наилучшими доказанными международными практиками согласно лекарственному формуляру. 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лекарственными средствами и изделиями медицинского назначения пациентов с заболеваниями крови осуществляется: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счет средств ГОБМП и (или)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нормативно-правовых актов под № 21831) (далее – приказ № ҚР ДСМ-291/2020), включая лекарственные средства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ҚР ДСМ-75) 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 (далее приказ № ҚР ДСМ-89). Региональные координаторы помощи пациентам с заболеваниями крови обеспечивают анализ и составление заявок на лекарственные препараты и медицинские изделия для амбулаторного уровня, с последующим направлением на согласование республиканским координаторам;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счет благотворительной и спонсорской помощи и иных источников, не запрещенных законодательством Республики Казахстан в случаях, если обеспечение лекарственными средствами и изделиями медицинского назначения невозможно осуществить в рамках ГОБМП и (или) в системе ОСМС;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клинических исследований в соответствии с действующим законодательством в области клинических исследований.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здравоохранения, оказывающие медицинскую помощь пациентам с заболеваниями крови, обеспечивают соблюдение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Медицинская деятельность по оказанию медицинской помощи пациентам с заболеваниями крови осуществляется субъектами здравоохранения независимо от форм собственности при наличии государственной лицензии на указанный вид деятельности, полученной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включая лицензии по подвидам: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"Гематология" для медицинской помощи в амбулаторных условиях, стационарных и стационарозамещающих условиях соответственно условиям организации;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"Трансфузиология" для медицинских организаций в стационарозамещающих и стационарных условиях;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"Фармацевтическая деятельность" для медицинских организаций, выполняющих лекарственное лечение и (или) использование изделий медицинского назначения;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"Деятельность, связанная с оборотом наркотических средств, психотропных веществ и прекурсоров" для медицинских организаций, использующих наркотические средства в лечении гематологических пациентов;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"Экспертиза временной нетрудоспособности" для медицинских организаций, оказывающих медицинскую помощь в стационарных, стационарозамещающих условиях и для организаций, в составе которых имеются центры компетенций.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медицинской помощи пациентам с заболеваниями крови используется МКБ-10 с включением в себя рубрик МКБ-10 согласно приложению 2 к настоящему Стандарту.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Гематологическая служба включает в себя совокупность организаций здравоохранения, оказывающих медицинские услуги пациентам с болезнями крови и кроветворных органов, включая злокачественные новообразования лимфоидной, кроветворной и родственных им тканей (далее – болезни и/или заболевания крови) на всех уровнях регионализации в амбулаторных, стационарных и стационарозамещающих условиях, а также лабораторий, медицинских организаций лучевой диагностики, организаций здравоохранения, выполняющих деятельность в области трансфузиологии, организаций, выполняющих деятельность в области биотехнологий, клинических баз организаций послевузовского образования, профессиональных гематологических ассоциаций.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общим принципам деятельности медицинской организации, оказывающей гематологическую помощь, относятся: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направленность на раннее выявление заболеваний крови и кроветворных органов, используя все необходимые диагностические мероприятия в соответствии с КП;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направленность на лечение гематологических пациентов, соблюдая дозы и режимы специализированного лечения в соответствии с КП;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направленность на соблюдение режимов и сроков программного лечения в соответствии с КП, в том числе с использованием уменьшения набора неспецифических исследований для направления на госпитализацию пациента;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направленность на соблюдение комплексного ведения пациента, включая мониторинг ответов и динамичное наблюдение, паллиативную помощь;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ранней маршрутизации пациента в медицинские организации с наличием необходимой ресурсной обеспеченности при наличии недостаточных ресурсов в медицинской организации, где наблюдается пациент.</w:t>
      </w:r>
    </w:p>
    <w:bookmarkEnd w:id="227"/>
    <w:bookmarkStart w:name="z23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оказывающих гематологическую помощь взрослым пациентам с заболеваниями крови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Структура организаций, оказывающих гематологическую помощь взрослым пациентам с заболеваниями крови, включает: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ПМСП на районном, городском и областном уровнях;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кабинеты гематолога (далее – кабинет гематолога) в поликлиниках районного, городского, областного уровней, в консультативно-диагностическом отделении многопрофильных больниц, гематологических центров, консультативно-диагностических центров, в научных организациях, а также в виде самостоятельных организаций;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гематологические отделения или койки в структуре многопрофильных больниц, гематологических центров на городском, областном уровнях и уровнях городов республиканского значения, в составе научных организаций, а также в виде самостоятельных организаций;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койки или отделения дневного стационара в структуре многопрофильных больниц, гематологических центров на городском, областном уровнях, городов республиканского значения, в составе научных организаций, а также в виде самостоятельных организаций.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Медицинские организации, оказывающие специализированную гематологическую помощь, делятся на четыре уровня гематологической помощи.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уровень гематологической помощи включает: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гематологов, оказывающие медицинскую помощь в виде консультационных услуг врачей гематологов в амбулаторных условиях без проведения специальных методов диагностики и лечения;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терапевтические или онкологические койки, или отделения, а также гематологические койки в составе терапевтических отделений, оказывающие специализированную медицинскую помощь в стационарозамещающих и стационарных условиях врачами гематологами без проведения специальных методов диагностики и лечения;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уровень гематологической помощи включает: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 в составе региональных центров компетенции,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включая лекарственную терапию, динамическое наблюдение, паллиативную помощь;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 отделения (центры) в составе региональных центров компетенций оказывающие специализированную медицинскую помощь, в том числе высокотехнологичную медицинскую помощь в стационарозамещающих и стационарных условиях врачами гематологами с применением специальных методов диагностики и лечения, включая паллиативную помощь.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уровень гематологической помощи включает: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 в составе центров компетенции,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включая лекарственную терапию, динамическое наблюдение, паллиативную помощь;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 отделения (центры) в составе центров компетенций оказывающие специализированную медицинскую помощь, в том числе высокотехнологичную медицинскую помощь в стационарозамещающих и стационарных условиях врачами гематологами с применением специальных методов диагностики и лечения, включая паллиативную помощь.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уровень гематологической помощи включает: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 в составе республиканских центров компетенции в составе научных организаций,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включая лекарственную терапию;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 отделения (центры) в составе республиканских центров компетенции в составе научных организаций, оказывающие специализированную медицинскую помощь, в том числе высокотехнологичную медицинскую помощь в стационарозамещающих и стационарных условиях врачами гематологами с применением специальных методов диагностики и лечения.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Центры компетенций по гематологии создаются на городском, областном, и республиканском уровне в каждом регионе Республике Казахстан согласно приложению 3 к настоящему Стандарту.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и требования к медицинским организациям, оказывающим специализированную гематологическую помощь изложены в приложении 4 к настоящему Стандарту.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Уровни медицинских организаций, оказывающих специализированную гематологическую помощь, определяются действующими нормативными правовыми актами в сфере здравоохранения.</w:t>
      </w:r>
    </w:p>
    <w:bookmarkEnd w:id="249"/>
    <w:bookmarkStart w:name="z26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направления и задачи деятельности медицинских организаций, оказывающих медицинскую помощь взрослому населению с заболеваниями крови, а также с подозрением на заболевание крови и вторичными осложнениями системы крови на фоне болезней иных органов и систем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направлениями медицинских организаций на первом уровне гематологической помощи являются: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 ПМСП: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профилактика, первичная диагностика заболеваний крови;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динамическом наблюдении по рекомендациям врача гематолога: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индивидуальной программы динамического наблюдения в соответствии с Перечнем хронических заболеваний, подлежащих динамическому наблюдению,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 (далее – приказ № ҚР ДСМ-109/2020) и Правилами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ДСМ-149/2020), а также КП;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консультаций и иных медицинских услуг (очных и дистанционных) гематологов и комплекса необходимых лечебно-диагностических мероприятий пациентам с заболеваниями крови в соответствии с КП;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обеспечение амбулаторными лекарственными препаратами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>, если в регионе такую задачу не выполняет центр компетенции по гематологии, по заключению врача гематолога;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направление на госпитализацию пациентов с заболеваниями крови в соответствии с КП;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вакцинации пациентов с заболеваниями крови по рекомендациям врача гематолога;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индивидуальной программы реабилитации пациентов с заболеваниями крови в соответствии с рекомендациями гематолога и КП;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паллиативной помощи;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необходимых документов для направления на определение степени утраты трудоспособности, в порядке, предусмотренном Правилами проведения медико-социальной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проведение экспертизы временной нетрудоспособности пациентам с заболеваниями крови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21660).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условиях: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и лечение дефицитных анемий и вторичных цитопений в соответствии с КП, а в случае их отсутствия в соответствии с доказанными международными медицинскими практиками.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Основными задачами медицинских организаций на первом уровне гематологической помощи являются: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условиях: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профилактика, диагностика и лечение без применения специализированных методов;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консультационные услуги врача гематолога пациентов, находящихся на лечении в стационарных и стационарозамещающих условиях в медицинских организациях других профилей;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и стационарных условиях: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оказание симптоматической помощи больным с заболеваниями крови и кроветворных органов (обезболивание, лечение осложнений, переливание крови и ее компонентов);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экстренной помощи в объеме, определяемом курирующим центром компетенции;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паллиативной помощи больным с заболеваниями крови в соответствии с клиническими показаниями, в том числе паллиативные курсы химиотерапии в соответствии с рекомендациями курирующего центра компетенции.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задачами медицинских организаций на втором и третьем уровне гематологической помощи являются: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условиях: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осуществление консультаций врача гематолога (очных и дистанционных медицинских услуг) и комплекса необходимых лечебно-диагностических мероприятий пациентам с заболеваниями крови, а также их осложнениями и ответов на проведение терапии в соответствии с КП;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направление и выполнение, включая пересмотр гистологических, иммуногистохимических, иммунохимических, генетических исследований и иммунофенотипирования в референс лабораториях, определенных уполномоченным органом, в том числе в международных организациях;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организация и проведение амбулаторного лечения врачами гематологами в соответствии с КП, в том числе в соответствии с перечнем лекарственных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– 75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полного маршрута пациента и его динамического наблюдения врачами гематологами в соответствии с КП, приложением 5 Стандарта и приказами </w:t>
      </w:r>
      <w:r>
        <w:rPr>
          <w:rFonts w:ascii="Times New Roman"/>
          <w:b w:val="false"/>
          <w:i w:val="false"/>
          <w:color w:val="000000"/>
          <w:sz w:val="28"/>
        </w:rPr>
        <w:t>№ ҚР ДСМ-109/2020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ҚР ДСМ-149/2020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посттрансплантационных пациентов врачами гематологами в соответствии с КП;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определение показаний к вакцинации пациентов с заболеваниями крови;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рекомендаций по сохранению фертильности пациентов с заболеваниями крови совместно с врачами, специализирующимися в области репродуктологии;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составление рекомендаций по реабилитационной помощи пациентов с заболеваниями крови;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организация паллиативной помощи;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-подбор и обследование доноров гемопоэтических стволовых клеток;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вводится в действие с 01.01.2026 приказа Министра здравоохранения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стационарных условиях: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 же задачи, что и для стационарозамещающих условий;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оказание экстренной медицинской помощи пациентам с заболеваниями крови в соответствии с КП;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специализированная помощь включает оказание высокотехнологических медицинских услуг при наличии подтверждения соответствия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 (далее – приказ № ҚР ДСМ-238/2020));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лечение острых лейкозов и депрессий кроветворения в режиме индукции и консолидации химиотерапии в соответствии с КП проводится в строгом соответствии с требованиями приложения 4 и 5 настоящего Стандарта при наличии согласования и заключения со специалистами центров компетенции третьего или четвертого уровней.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острых лейкозов и депрессий кроветворения в режиме индукции и консолидации химиотерапии проводится в соответствии с требованиями приложений 4 и 5 настоящего Стандарта при наличии согласования и заключения со специалистами республиканских центров (четвертый уровень).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выдачи заключения о соответствии требованиям Стандарта для выполнения специализированного лечения острых лейкозов и депрессий кроветворения в режиме индукции и консолидации устанавливается законодательством Республики Казахстан в сфере здравоохранения.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Основными задачами медицинских организаций на четвертом уровне гематологической помощи являются: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 оказывается тот же объем помощи, что и на втором/третьем уровне регионализации гематологической помощи, за исключением динамического наблюдения пациентов;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и стационарных условиях оказывается тот же объем помощи, что и на втором/третьем уровне гематологической помощи, а также проведение всех видов химиотерапии, а также всех видов трансплантации гемопоэтических стволовых клеток, мезенхимальных стволовых клеток, инфузии донорских лимфоцитов, проведение клеточных технологий и научных исследований.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Объемы диагностики и медицинской помощи в соответствии с задачами выполняются согласно приложению 5 к настоящему Стандарту.</w:t>
      </w:r>
    </w:p>
    <w:bookmarkEnd w:id="296"/>
    <w:bookmarkStart w:name="z31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медицинской помощи пациентам с заболеваниями крови, а также с подозрением на заболевание крови и вторичными осложнениями системы крови на фоне болезней иных органов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Гематологическая помощь организуется: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ДСМ-238/2020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амбулаторных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стационарозамещающих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32740);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стационарных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 ДСМ-27 "Об утверждении Стандарта организации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27218);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 использованием высокотехнологичной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21471).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Ведение учетной документации при оказании профильным специалистом специализированной медицинской помощи в амбулаторных условиях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ДСМ-175/2020), в том числе посредством медицинских информационных систем.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Маршруты пациентов с заболеваниями в рамках ГОБМП и (или) ОСМС представлены в приложении 5 к настоящему Стандарту.</w:t>
      </w:r>
    </w:p>
    <w:bookmarkEnd w:id="305"/>
    <w:bookmarkStart w:name="z32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медицинской помощи пациентам с заболеваниями крови, а также с подозрением на заболевание крови и вторичными осложнениями системы крови на фоне болезней иных органов на уровне ПМСП.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амбулаторных условиях врачи ПМСП для реализации задач настоящего Стандарта используют рекомендации врачей гематологов, полученных на любых уровнях гематологической помощи в системе ГОБМП и (или) ОСМС, или на платной основе в амбулаторных, стационарных и стационарозамещающих условиях, при наличии нескольких заключений приоритет отдается заключению специалистов четвертого уровня.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подозрении у пациента заболевания крови, специалисты ПМСП, с целью первичной диагностики в срок не более трех рабочих дней организуют проведение обязательных исследований при наличии клинических признаков и изменений лабораторных исследований, согласно приложению 5 к настоящему Стандарту.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Если по результатам проведенной первичной диагностики на основании клинических, лабораторных и (или) инструментальных методов исследований у пациента выявлено подозрение на заболевание крови, пациент направляется на консультацию врача-гематолога в своей организации, в случае отсутствия врача гематолога врачи ПМСП обеспечивают консультации путем привлечения соисполнителей, включенных в базу данных, в соответствии с Правилами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(зарегистрирован в Реестре государственной регистрации нормативных правовых актов под № 21744) (далее – соисполнители) или в рамках оказания платных услуг. Консультация проводится в очной или дистанционной форме, в том числе с использованием отложенной консультации (по результатам анализа, где пациент не участвует лично).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по результатам проведенной первичной диагностики на основании клинических, лабораторных и (или) инструментальных методов исследований у пациента не выявлено заболевание крови, но имеются вторичные осложнения со стороны крови на фоне заболевания других органов и систем, то организуется консилиум с привлечением профильных специалистов, включая врача гематолога и разрабатывается индивидуальный план лечения пациента. 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Перечни кодов МКБ 10 для вторичных проявлений изменений крови на фоне заболеваний других органов и систем представлены в приложении 2 к настоящему Стандарту.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установления подозрения на заболевание крови врач ПМСП направляет пациента на второй уровень гематологической помощи для проведения диагностики и лечения. 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Окончательный диагноз подтверждается специалистами начиная со второго уровня.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проведении динамического наблюдения, мониторинга состояния пациента, подготовке пациента к плановой госпитализации в гематологические отделения, врачи ПМСП организуют консультацию гематолога и проводят рекомендованный план обследования.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наличии у пациента признаков угрозы жизни и здоровью, пациент госпитализируется по экстренным показаниям в медицинские организации любого уровня гематологической помощи без проведения дополнительного объема исследований с обязательным согласованием маршрута пациента в данные организации.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отсутствия согласования на госпитализацию со стороны медицинских организаций, оказывающих специализированную гематологическую помощь (по экстренным показаниям – в течение часа, по плановым показаниям – в течение 3 рабочих дней), пациент направляется в приемное отделение данных организаций.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Амбулаторное лекарственное обеспечение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– 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проводится в строгом соответствии с рекомендациями гематологов второго, третьего и/или четвертого уровней, не допускается самостоятельно (со стороны врача ПМСП или специалиста не гематологического профиля) снижение доз, замена или отмена препаратов, изменение схемы лечения и режимов введения. 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Не допускается отмена выдачи препаратов в случае госпитализации пациентов с заболеваниями крови. В случае отсутствия возможности обеспечения лекарственным препаратом, врачи ПМСП совместно с врачами гематологами центра компетенции второго уровня принимают решение об альтернативных схемах лечения, а в случаях отсутствия таковых госпитализируют пациента для проведения лечения в стационарозамещающих условиях в гематологические организации второго уровня. 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отсутствия возможности решения вопроса на втором уровне гематологической помощи пациент направляется на третий или четвертый уровень гематологической помощи для решения вопроса о назначении лекарственных препаратов.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стационарозамещающих условиях врачи ПМСП проводят диагностику и лечение дефицитных анемий и вторичных цитопений на основе КП в соответствии с консультациями врача гематолога второго, третьего и/или четвертого уровней.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оказании медицинских услуг пациентам с признаками заболевания крови или их осложнений на уровне ПМСП в рамках ГОБМП, ОСМС или на платной основе, или в рамках научных или клинических исследований не допускается установка диагноза гематологического заболевания или его снятие, или изменение, а также изменение фазы, стадии, степени тяжести заболевания, или назначение и коррекция специализированного лечения, или назначение инвазивных методов забора костного мозга без консультации врача гематолога второго, третьего и/или четвертого уровней.</w:t>
      </w:r>
    </w:p>
    <w:bookmarkEnd w:id="321"/>
    <w:bookmarkStart w:name="z34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медицинской помощи пациентам с заболеваниями крови, а также с подозрением на заболевание крови и вторичными осложнениями системы крови на уровне организаций не гематологического профиля в амбулаторных, стационарных и стационарозамещающих условиях.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наличии признаков заболевания крови, его осложнений или изменений со стороны системы крови на фоне других заболеваний, врачи, выявившие данное состояние осуществляют: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угрозы жизни пациента консультацию гематолога центра компетенции второго уровня гематологической помощи, а в случае невозможности любого врача гематолога в очной или дистанционной форме;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угрозы жизни пациента проведение консилиума с врачами гематологами центра компетенции второго уровня гематологической помощи или направление на плановую консультацию к врачу гематологу.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объема хирургических вмешательств или инвазивных методов лечения и диагностики, включая эфферентологические методы и лучевую терапию у пациентов с заболеваниями крови или вторичными осложнениями со стороны системы крови на фоне иных заболеваний, проводится консилиум врачей, в состав которого включается врач гематолог. Определение противопоказаний и показаний к вмешательству не определяется единолично врачом гематологом, а оценивается комплексно консилиумом врачей с определением клинических рисков.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оказании медицинских услуг пациентам с признаками заболевания крови или их осложнениями в рамках ГОБМП, ОСМС или на платной основе, или в рамках научных или клинических исследований не допускается установка диагноза гематологического заболевания или его снятие, или изменение, а также изменение фазы, стадии, степени тяжести заболевания, или назначение и коррекция специализированного лечения, или назначение инвазивных методов забора костного мозга без консультации врача гематолога второго, третьего и/или четвертого уровней.</w:t>
      </w:r>
    </w:p>
    <w:bookmarkEnd w:id="327"/>
    <w:bookmarkStart w:name="z34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гематологической помощи в специализированных медицинских организациях.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организации работы врачей гематологов в медицинских организациях выполняются требования, изложенные в приложении 4 к настоящему Стандарту в рамках преемственности.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Оказание гематологической помощи на амбулаторном уровне: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медицинской организации ПМСП, при наличии жалоб и подозрений на гематологическое заболевание направляет пациента на консультацию к врачу гематологу.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Расчетное время приема врача гематолога составляет 40 минут.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Компетенции врача гематолога Кабинета определяются профессиональными стандартами в области здравоохранения.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Врачи-гематологи в медицинских организациях осуществляют задачи, предусмотренные настоящим Стандартом, в соответствии с КП, утвержденными в установленном порядке, а при их отсутствии — в соответствии с иными нормативными правовыми актами и решениями уполномоченного органа в области здравоохранения.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Объем медицинской помощи для реализации задач по уровням гематологической помощи и маршруты пациентов изложены в приложении 5 к настоящему Стандарту.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Врач гематолог в рамках проведения консультации оценивает полноту диагностики, анализирует результаты проведенных обязательных исследований, устанавливает или корректирует, или снимает диагноз, определяет план лечения и наблюдения пациента, формирует рекомендации, документирует свои решения, результаты исследования, анамнез, осмотр и рекомендации в медицинской карте и медицинском заключении в течение трех рабочих дней с даты направления на консультацию;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Если первичное обследование проведено не в полном объеме или результаты не позволяют установить заболевание крови, врач гематолог направляет пациента на дополнительные обследования в МО ПМСП или рекомендует пациенту данные обследования для прохождения на платной основе в срок не более 10 дней от даты назначения врачом-гематологом.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Если пациенту требуется специализированная диагностика или лечение, врач гематолог первого уровня направляет пациента на второй, третий или четвертый уровень гематологической помощи в амбулаторные, стационарозамещающие или стационарные условия.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рамках диагностики для верификации диагноза, в том числе для его пересмотра на втором, третьем и четвертом уровне гематологической помощи проводятся гистологические, иммуногистохимические исследования, иммунофенотипирование, иммунохимические исследования, диагностические тесты с использованием молекулярно-биологических и цитогенетических методов, включая FISH, которые являются обязательными для установления диагноза, и выполняются в соответствии с задачами согласно приложению 5 к настоящему Стандарту.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установления диагноза врач-гематолог медицинской организации проводит стратификацию рисков и формирует план лечения в соответствии с КП диагностики и лечения, утвержденными в установленном порядке, а при их отсутствии — в соответствии с решениями уполномоченного органа в области здравоохранения.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56.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56) вводится в действие с 01.01.2026 приказа Министра здравоохранения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Врачи-гематологи медицинской организации четвертого уровня гематологической помощи в течение пяти рабочих дней формируют заключение и направляют его посредством МИС либо электронной почты. Заключение должно содержать подтверждение возможности выполнения высокотехнологичной медицинской помощи и рекомендации по подготовке пациента к ее получению либо мотивированный отказ с указанием причин и рекомендаций по альтернативному лечению.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58.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58) вводится в действие с 01.01.2026 приказа Министра здравоохранения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наличия экстренных показаний, врач гематолог направляет пациента на госпитализацию в медицинские организации своего региона, имеющие лицензию по подвиду "гематология" в стационарных условиях. В случае отсутствия такой возможности, врач гематолог согласовывает госпитализацию с центром компетенции на третьем уровне или с организацией четвертого уровня.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направлении на госпитализацию при отсутствии ранее установленного диагноза, пациенту устанавливается код диагноза по МКБ 10 D75.9 "Болезнь крови и кроветворных органов неуточненная".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оказании гематологической помощи на первом уровне, а также при отсутствии возможности проведения обязательных методов диагностики, диагноз кодируется согласно приложению 2 к настоящему Стандарту. При наличии результатов ранее проведенных исследований они отражаются в медицинской документации пациента и признаются выполненной услугой, предусмотренной КП.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Изменение кода диагноза допускается только при наличии результатов исследований, подтвержденных КП либо действующими нормативными правовыми актами в сфере здравоохранения. Все изменения подлежат обязательному внесению в медицинскую карту пациента с указанием диагностических оснований и отражаются в медицинском заключении.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Если у пациента не установлено заболевания крови, врач гематолог направляет его в медицинскую организацию ПМСП по месту прикрепления этого пациента для организации дальнейшего диагностического поиска.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Если у пациента имеется гематологическое заболевание, но ему не требуется специализированная диагностика, лечение или динамическое наблюдение, врач гематолог составляет рекомендации и направляет пациента в медицинскую организацию ПМСП по месту прикрепления этого пациента для организации дальнейшего этапа оказания медицинской помощи.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рамках организации амбулаторного лечения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– 75</w:t>
      </w:r>
      <w:r>
        <w:rPr>
          <w:rFonts w:ascii="Times New Roman"/>
          <w:b w:val="false"/>
          <w:i w:val="false"/>
          <w:color w:val="000000"/>
          <w:sz w:val="28"/>
        </w:rPr>
        <w:t>, врач гематолог: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уровне гематологической помощи выполняет назначение, коррекцию или отмену режима лечения, вид, дозу, режим введения лекарственного средства в соответствии с КП, а в случае их отсутствия в соответствии с наилучшими медицинскими практиками в области гематологии с наличием доказательных критериев и оформляет выполненные назначения в виде рекомендаций в медицинской карте пациента и медицинской заключении;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и третьем уровне гематологической помощи врач гематолог выполняет те же действия, что врач гематолог на первом уровне гематологической помощи, а также проводит диагностику и лечение при наличии условий в центре компетенции. Специалисты данных центров организовывают контроль выдачи амбулаторных лекарственных препаратов.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Врачи гематологи проводят обследование доноров гемопоэтических стволовых клеток по направлению врачей ПМСП согласно рекомендациям, составленным медицинскими организациями четвертого уровня.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рамках динамического наблюдения врач-гематолог оценивает состояние пациента на основании клинических данных и при необходимости назначает дополнительное обследование, проводит коррекцию лечения либо направляет пациента в медицинскую организацию более высокого уровня гематологической помощи для получения специализированного лечения или диагностики. Действия врача осуществляются в соответствии с КП, утвержденными в установленном порядке. Все назначения и рекомендации подлежат оформлению в медицинской карте пациента и медицинском заключении.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выработки рекомендаций по диагностике и лечению, а также для решения иных задач врач-гематолог организует консилиум с участием врачей-гематологов более высокого уровня гематологической помощи и специалистов других профилей. Состав консилиума определяется врачом-гематологом с учетом клинического состояния пациента и данных диагностики.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Не допускается проведение инвазивных методов забора костного мозга врачом гематологом на первом уровне гематологической помощи, начиная со второго уровня – только при наличии условий, изложенных в приложении 5 к настоящему Стандарту.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Консультации беременных женщин с подозрением или при наличии установленного диагноза заболевания крови, а также при наличии вторичных изменений со стороны крови на фоне других основных заболеваний проводится по принципу зеленого коридора, в течение трех рабочих дней от направления врача ПМСП, или врача иного профиля, или самообращения пациентки.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Паллиативное лечение в амбулаторных условиях врачом гематологом назначается с учетом клинической ситуации и выражается в назначении обезболивающих препаратов, в том числе наркотических анальгетиков, переливании компонентов крови, симптоматической терапии, а также наблюдении за состоянием пациента и процедурах ухода с учетом оценки рисков осложнений со стороны заболеваний крови. Все рекомендации оформляются в медицинской карте и в медицинском заключении.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Реабилитационное лечение определяется состоянием пациента и заключается в проведении лечебной физкультуры и рекомендациях по правильному питанию и охранительному режиму. Все рекомендации оформляются в медицинской карте и в медицинском заключении.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Рекомендации по вакцинации пациента определяются КП диагностики и лечения в соответствии с технологиями лечения. Все рекомендации оформляются в медицинской карте и в медицинском заключении.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реализации программы по сохранению фертильности врач-гематолог составляет рекомендации для врачей ПМСП или врачей-репродуктологов в соответствии с КП, либо действующими нормативными правовыми актами в сфере здравоохранения.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необходимости транспортировки пациента для госпитализации, в том числе на более высокий уровень гематологической помощи, врач гематолог оформляет рекомендации с учетом клинической ситуации по снижению рисков осложнений со стороны системы крови во время транспортировки и оформляет данные рекомендации в медицинской карте и в медицинском заключении.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рамках определения временной или стойкой утраты трудоспособности врач гематолог определяет период времени, в течение которого пациент не может выполнять работу, а также определяет режим работы и характер работ, который противопоказан пациенту.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Консультации врача гематолога при вторичных проявлениях патологии крови на фоне основного или иного заболевания осуществляются с целью рекомендаций по коррекции выявленных осложнений на фоне лечения основного заболевания.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Врач гематолог осуществляет обучение пациентов и членов их семей по вопросам гематологических заболеваний и их осложнений. Обучение пациентов и членов их семей может также проводить медицинская сестра, имеющая соответствующую подготовку в рамках своих компетенций.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Объем медицинской помощи и требования к медицинским организациям в соответствии с задачами по уровням гематологической помощи изложены в приложении 5 к настоящему Стандарту.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Гематологическая помощь в стационарозамещающих и стационарных условиях гематологической помощи включает: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основных задач в порядке, аналогично для амбулаторных условий;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диагностики и лечения пациентов с заболеваниями крови осуществляется в соответствии с КП либо, при их отсутствии, в соответствии с действующими нормативными правовыми актами в сфере здравоохранения;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гематологической помощи с использованием методов диагностики и лечения на первом уровне гематологической помощи при отсутствии возможности транспортировки пациента на более высокий уровень при согласовании с врачами гематологами третьего или четвертого уровня гематологической помощи до стабилизации состояния пациента и возможности его транспортировки;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гематологической помощи с использованием специализированных методов диагностики и лечения, в том числе назначения таргетных препаратов на втором уровне гематологической помощи при согласовании с врачами гематологами третьего или четвертого уровня гематологической помощи;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амбулаторный инвазивный забор костного мозга для второго и третьего уровней только при условии возможности оказания реанимационной помощи, а в стационарозамещающих условиях – при возможности транспортировки пациента в стационарные условия гематологического отделения в течение часа при развитии осложнений и при условии возможности наблюдения за пациентом в течение часа после проведения манипуляции и мониторинга его состояния дистанционно в течение суток от момента проведения забора костного мозга;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трансфузиологическую помощь, если в медицинской организации имеется врач трансфузиолог и возможность оказания реанимационной помощи.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81.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81) вводится в действие с 01.01.2026 приказа Министра здравоохранения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Оказание медицинской помощи пациентам со злокачественными новообразованиями системы крови и кроветворных органов кодируются при отсутствии диагноза – кодом C96.9 "Злокачественное новообразование лимфоидной, кроветворной и родственных им тканей неуточненное", а также для первого уровня регионализации при наличии установленного диагноза кодом C96.7 "Другие уточненные злокачественные новообразования лимфоидной, кроветворной и родственных им тканей" и далее указывается основной уточненный диагноз.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необходимости согласования направления или перевода пациента на диагностику и лечение с использованием специализированных методов врач гематолог организовывает консилиум с включением врачей гематологов более высокого уровня гематологической помощи, определенных приказом первого руководителя данных организаций как кураторов маршрутизации пациентов.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Диагностика и лечение вторичных осложнений патологии крови на фоне основного иного заболевания осуществляются с целью коррекции выявленных осложнений на фоне лечения основного заболевания, преимущественно в медицинских организациях по профилю основного заболевания.</w:t>
      </w:r>
    </w:p>
    <w:bookmarkEnd w:id="374"/>
    <w:bookmarkStart w:name="z4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стационарных условиях оказывается экстренная помощь пациентам с заболеваниями крови.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Маршрутизация пациента с заболеваниями крови и вторичными проявлениями патологии крови, а также объем оказываемой помощи при отдельных группах заболеваний изложены в приложении 5 к настоящему Стандарту.</w:t>
      </w:r>
    </w:p>
    <w:bookmarkEnd w:id="376"/>
    <w:bookmarkStart w:name="z40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Координация гематологической помощи по уровням и организационно-методические задачи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Координация гематологической помощи, оказываемой медицинскими организациями и их структурными подразделениями, указанными в настоящем Стандарте, осуществляется центрами компетенции, определяемыми приказами местных органов государственного управления здравоохранением областей, городов республиканского значения и столицы.</w:t>
      </w:r>
    </w:p>
    <w:bookmarkEnd w:id="378"/>
    <w:bookmarkStart w:name="z4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Центр компетенции второго уровня в отношении организаций ПМСП и организаций первого уровня гематологической помощи осуществляет:</w:t>
      </w:r>
    </w:p>
    <w:bookmarkEnd w:id="379"/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маршрутов пациентов;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назначения и корректировки таргетной терапии;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установления диагноза и его изменений;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статистического учета заболеваний;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динамического наблюдения и амбулаторного лечения.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случае отсутствия второго уровня гематологической помощи в регионе, данные задачи выполняет организация третьего, четвертого уровня гематологической помощи.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Координации гематологической помощи на третьем уровне гематологической помощи осуществляются в соответствии с совместными приказами местных органов государственного управления данных областей, городов республиканского значения и столицы по согласованию с республиканским центром четвертого уровня, осуществляющим координацию гематологической помощи взрослому населению в соответствии с приказом уполномоченного органа в области здравоохранения Республики Казахстан. 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рамках координации выполняются аналогичные задачи, что и для центров компетенции второго уровня гематологической помощи, включая маршрутизацию для получения высокотехнологичной медицинской помощи, контроль качества медицинской помощи и планирование объемов медицинской помощи по запросу местных органов государственного управления и Некоммерческое акционерное общество "Фонд социального медицинского страхования" (далее – Фонд).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Координация гематологической помощи на республиканском уровне осуществляется республиканскими центрами четвертого уровня, которые определяются приказом уполномоченного органа в области здравоохранения. 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рамках координации центры компетенции осуществляют задачи, установленные для центров компетенции, в том числе маршрутизацию пациентов для получения высокотехнологичной медицинской помощи и планирование объемов медицинской помощи по запросу уполномоченного органа в области здравоохранения.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94.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94) вводится в действие с 01.01.2026 приказа Министра здравоохранения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Основными организационно-методическими задачами центров компетенции являются:</w:t>
      </w:r>
    </w:p>
    <w:bookmarkEnd w:id="390"/>
    <w:bookmarkStart w:name="z4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учета гематологических заболеваний в соответствии с действующими формами учетной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391"/>
    <w:bookmarkStart w:name="z41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отчетов и сбор показателей в соответствии с программой мониторинга гематологической службы курирующим центром компетенции и республиканским центром четвертого уровня;</w:t>
      </w:r>
    </w:p>
    <w:bookmarkEnd w:id="392"/>
    <w:bookmarkStart w:name="z42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сборе документов для направления пациента на лечение за рубеж в соответствии с рекомендациями республиканского центра четвертого уровня;</w:t>
      </w:r>
    </w:p>
    <w:bookmarkEnd w:id="393"/>
    <w:bookmarkStart w:name="z42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медицинских работников по вопросам оказания медицинской помощи пациентам с заболеваниями крови;</w:t>
      </w:r>
    </w:p>
    <w:bookmarkEnd w:id="394"/>
    <w:bookmarkStart w:name="z42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и информирования пациентов с заболеваниями крови по вопросам гематологической помощи при участии специалистов вторичного уровня;</w:t>
      </w:r>
    </w:p>
    <w:bookmarkEnd w:id="395"/>
    <w:bookmarkStart w:name="z42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основных индикаторов, согласно приложению 6 к настоящему Стандарту, а также мониторинг исполнения дорожных карт и планов развития регионов по гематологической службе;</w:t>
      </w:r>
    </w:p>
    <w:bookmarkEnd w:id="396"/>
    <w:bookmarkStart w:name="z42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статистического учета заболеваний крови в курируемом регионе и их анализ, включая постановку пациента на учет в информационных системах Министерства здравоохранения Республики Казахстан, а также оценку ответов на терапию;</w:t>
      </w:r>
    </w:p>
    <w:bookmarkEnd w:id="397"/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организациями, участвующими в планировании, маршрутизации и финансировании гематологической службы курируемых регионов, в том числе управлениями здравоохранения, территориальными подразделениями Фонда, Республиканское государственное предприятие на праве хозяйственного ведения "Республиканский центр электронного здравоохранения", Комитетом контроля медицинской и фармацевтической деятельности Министерства здравоохранения Республики Казахстан;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экспертизе качества медицинской помощи пациентам с заболеваниями крови;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участие в образовательной и научной деятельности для специалистов гематологической помощи региона;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конкурсном отборе кандидатов на резидентуру по специальности "гематология (взрослая)";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аккредитации клинических баз для обучения специалистов по специальности "гематология (взрослая)";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профессиональными ассоциациями в области гематологии по вопросам организации, образования и экспертизы;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мероприятий по развитию донорства крови и ее компонентов, гемопоэтических стволовых клеток совместно с медицинскими организациями, осуществляющими деятельность по специальности "трансфузиология".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3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норматив оснащения медицинских организаций, оказывающих гематологическую помощь</w:t>
      </w:r>
    </w:p>
    <w:bookmarkEnd w:id="405"/>
    <w:bookmarkStart w:name="z43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Минимальный норматив оснащения организации, оказывающую гематологическую помощь в стационарных условиях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напольные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палат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биоматериалов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13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Бактерицидные облучатели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для длительных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инфузионных растворов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столик для проведения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для перевозки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дезинфицирующего средства для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функциональные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коечного фонда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Тумбочки прикроватные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кроватей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4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кроватей</w:t>
            </w:r>
          </w:p>
        </w:tc>
      </w:tr>
    </w:tbl>
    <w:bookmarkStart w:name="z53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Минимальный норматив оснащения организации, оказывающую гематологическую помощь в стационарозамещающих условиях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кровать или кресло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лекарственных препаратов, растворов, расходников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шкаф для разведения химиопрепаратов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многофункциональная для перемещения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(на 2-14 градусов)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инфузионных растворов на колесах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многофункциональный манипуляционный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Бактерицидные облучатели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инфузоматов (перфузоров)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инфузоматов/перфузоров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или Кресла для пациентов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коечного фонда</w:t>
            </w:r>
          </w:p>
        </w:tc>
      </w:tr>
    </w:tbl>
    <w:bookmarkStart w:name="z63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Минимальный норматив оснащения палаты интенсивной терапии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набор для оказания реанимационного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вакуумный (при отсутствии централизованной сети)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противопролежневый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6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7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2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Минимальный норматив оснащения процедурной или манипуляционной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шкаф для разведения химиопрепаратов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медикаментов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(или холодильник с функцией мониторинга температурного режима)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первой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и гигрометр для мониторинга температуры и влажности в кабинете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Противошоковая укладка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7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Минимальный норматив оснащения для проведения аутологичной трансплантации гемопоэтических стволовых клеток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гепа-фильтры и (или) иными устройствами нагнетации ламинарного потока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в каждую палату, предназначенную для ТГСКиКМ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на палату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на палату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5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5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5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5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5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5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5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839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Минимальный норматив оснащения для проведения аллогенной и гаплоидентичной трансплантации гемопоэтических стволовых клеток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гепа-фильтры и (или) иными устройствами нагнетации ламинарного потока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в каждую палату, предназначенную для ТГСКиКМ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5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5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5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5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5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5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5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5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5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01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Злокачественные новообразования крови и депрессии кроветворения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 10</w:t>
            </w:r>
          </w:p>
          <w:bookmarkEnd w:id="5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острых лейкозов и депрессий кроветворения (47 группа КЗГ)</w:t>
            </w:r>
          </w:p>
          <w:bookmarkEnd w:id="52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D46.0</w:t>
            </w:r>
          </w:p>
          <w:bookmarkEnd w:id="5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 (Рефрактерная анемия без кольцевых сидеробластов)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D46.1</w:t>
            </w:r>
          </w:p>
          <w:bookmarkEnd w:id="5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Рефрактерная анемия с сидеробластами (Рефрактерная анемия с кольцевыми сидеробластами)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D46.2</w:t>
            </w:r>
          </w:p>
          <w:bookmarkEnd w:id="5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 [RAEB]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D46.4</w:t>
            </w:r>
          </w:p>
          <w:bookmarkEnd w:id="5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D46.5</w:t>
            </w:r>
          </w:p>
          <w:bookmarkEnd w:id="5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многолинейной дисплазией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D46.6</w:t>
            </w:r>
          </w:p>
          <w:bookmarkEnd w:id="5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D46.7</w:t>
            </w:r>
          </w:p>
          <w:bookmarkEnd w:id="5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D46.9</w:t>
            </w:r>
          </w:p>
          <w:bookmarkEnd w:id="5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D60.0</w:t>
            </w:r>
          </w:p>
          <w:bookmarkEnd w:id="5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приобретенная чистая красноклеточная аплазия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D61.0</w:t>
            </w:r>
          </w:p>
          <w:bookmarkEnd w:id="5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D61.3</w:t>
            </w:r>
          </w:p>
          <w:bookmarkEnd w:id="5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D61.9</w:t>
            </w:r>
          </w:p>
          <w:bookmarkEnd w:id="5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D69.3</w:t>
            </w:r>
          </w:p>
          <w:bookmarkEnd w:id="5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D47.4</w:t>
            </w:r>
          </w:p>
          <w:bookmarkEnd w:id="5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Остеомиелофиброз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C91.0</w:t>
            </w:r>
          </w:p>
          <w:bookmarkEnd w:id="5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C90.1</w:t>
            </w:r>
          </w:p>
          <w:bookmarkEnd w:id="5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C92.0</w:t>
            </w:r>
          </w:p>
          <w:bookmarkEnd w:id="5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(Острый миелобластный лейкоз [AML])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C92.3</w:t>
            </w:r>
          </w:p>
          <w:bookmarkEnd w:id="5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 (Хлорома, Гранулоцитарная саркома)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C92.4</w:t>
            </w:r>
          </w:p>
          <w:bookmarkEnd w:id="5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C92.5</w:t>
            </w:r>
          </w:p>
          <w:bookmarkEnd w:id="5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C92.6</w:t>
            </w:r>
          </w:p>
          <w:bookmarkEnd w:id="5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C92.8</w:t>
            </w:r>
          </w:p>
          <w:bookmarkEnd w:id="5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многолинейной дисплазией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C93.0</w:t>
            </w:r>
          </w:p>
          <w:bookmarkEnd w:id="5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 (Острый монобластный / моноцитарный лейкоз)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C94.0</w:t>
            </w:r>
          </w:p>
          <w:bookmarkEnd w:id="5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 (Острый эритроидный лейкоз 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C94.2</w:t>
            </w:r>
          </w:p>
          <w:bookmarkEnd w:id="5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C94.4</w:t>
            </w:r>
          </w:p>
          <w:bookmarkEnd w:id="5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панмиелолейкоз (Острый панмиелез с миелофиброзом)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C95.0</w:t>
            </w:r>
          </w:p>
          <w:bookmarkEnd w:id="5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C91.5</w:t>
            </w:r>
          </w:p>
          <w:bookmarkEnd w:id="5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Т-клеточный лейкоз взрослых (Т-клеточная лимфома взрослых / лейкоз [HTLV-1-ассоциированный])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миелопролиферативных заболеваний (48 группа КЗГ)</w:t>
            </w:r>
          </w:p>
          <w:bookmarkEnd w:id="55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D47.0</w:t>
            </w:r>
          </w:p>
          <w:bookmarkEnd w:id="5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D47.1</w:t>
            </w:r>
          </w:p>
          <w:bookmarkEnd w:id="5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миелопрофилеративная болезнь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D47.3</w:t>
            </w:r>
          </w:p>
          <w:bookmarkEnd w:id="5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D47.5</w:t>
            </w:r>
          </w:p>
          <w:bookmarkEnd w:id="5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эозинофильный лейкоз [гиперэозинофильный синдром]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C92.1</w:t>
            </w:r>
          </w:p>
          <w:bookmarkEnd w:id="5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(Хронический миелолейкоз [CML], BCR / ABL-положительный)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C92.2</w:t>
            </w:r>
          </w:p>
          <w:bookmarkEnd w:id="5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миелоидный лейкоз (Атипичный хронический миелолейкоз, BCR / ABL- отрицательный)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C92.7</w:t>
            </w:r>
          </w:p>
          <w:bookmarkEnd w:id="5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C92.9</w:t>
            </w:r>
          </w:p>
          <w:bookmarkEnd w:id="5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C93.1</w:t>
            </w:r>
          </w:p>
          <w:bookmarkEnd w:id="5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 (Хронический миеломоноцитарный лейкоз)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C93.3</w:t>
            </w:r>
          </w:p>
          <w:bookmarkEnd w:id="5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C93.7</w:t>
            </w:r>
          </w:p>
          <w:bookmarkEnd w:id="5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C93.9</w:t>
            </w:r>
          </w:p>
          <w:bookmarkEnd w:id="5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C94.6</w:t>
            </w:r>
          </w:p>
          <w:bookmarkEnd w:id="5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Миелодиспластическое и миелопролиферативное заболевание,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C96.0</w:t>
            </w:r>
          </w:p>
          <w:bookmarkEnd w:id="5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мультиисистемный (диссеминированный) гистиоцитоз из клеток Лангерганса [Болезнь Леттерера-Сиве]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C96.2</w:t>
            </w:r>
          </w:p>
          <w:bookmarkEnd w:id="5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C96.4</w:t>
            </w:r>
          </w:p>
          <w:bookmarkEnd w:id="5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(вспомогательных) клеток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C96.5</w:t>
            </w:r>
          </w:p>
          <w:bookmarkEnd w:id="5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унисистемный гистиоцитоз из клеток Лангерганса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C96.6</w:t>
            </w:r>
          </w:p>
          <w:bookmarkEnd w:id="5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Унифокальный гистиоцитоз из клеток Лангерганса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C96.8</w:t>
            </w:r>
          </w:p>
          <w:bookmarkEnd w:id="5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C94.3</w:t>
            </w:r>
          </w:p>
          <w:bookmarkEnd w:id="5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лимфопролиферативных заболеваний (46 группа КЗГ)</w:t>
            </w:r>
          </w:p>
          <w:bookmarkEnd w:id="57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C81.0</w:t>
            </w:r>
          </w:p>
          <w:bookmarkEnd w:id="5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лимфоидное преобладание (Лимфатическая узловатая лимфома Ходжкина; Нодулярный тип лимфоидного преобладания лимфомы Ходжкина)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C81.1</w:t>
            </w:r>
          </w:p>
          <w:bookmarkEnd w:id="5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нодулярный склероз (Узловой склероз классическая лимфома Ходжкина;Нодулярный склероз (классической) лимфомы Ходжкина 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C81.2</w:t>
            </w:r>
          </w:p>
          <w:bookmarkEnd w:id="5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смешанно-клеточный вариант (Смешанно-клеточная классическая лимфома Ходжкина)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C81.3</w:t>
            </w:r>
          </w:p>
          <w:bookmarkEnd w:id="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лимфоидное истощение (Лимфоцитарная классическая лимфома Ходжкина; Лимфоидное истощение (классической) лимфомы Ходжкина)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C81.4</w:t>
            </w:r>
          </w:p>
          <w:bookmarkEnd w:id="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Лимфоцитарная (Lymphocyte-rich) (классическая) лимфома Ходжкина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C81.7</w:t>
            </w:r>
          </w:p>
          <w:bookmarkEnd w:id="5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(классические) формы болезни Ходжкина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C81.9</w:t>
            </w:r>
          </w:p>
          <w:bookmarkEnd w:id="5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 (Лимфома Ходжкина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C82.0</w:t>
            </w:r>
          </w:p>
          <w:bookmarkEnd w:id="5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лимфома с расщепленными ядрами, фолликулярная (Фолликулярная лимфома I степени)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C82.1</w:t>
            </w:r>
          </w:p>
          <w:bookmarkEnd w:id="5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Смешанная,мелкоклеточная лимфома с ращеплен.ядрами и крупноклеточная (Фолликулярная лимфома II степени)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C82.2</w:t>
            </w:r>
          </w:p>
          <w:bookmarkEnd w:id="5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Крупноклеточная лимфома, фолликулярная (Фолликулярная лимфома III степени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C82.3</w:t>
            </w:r>
          </w:p>
          <w:bookmarkEnd w:id="5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IIIa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C82.4</w:t>
            </w:r>
          </w:p>
          <w:bookmarkEnd w:id="5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IIIb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C82.5</w:t>
            </w:r>
          </w:p>
          <w:bookmarkEnd w:id="5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центра фолликула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C82.6</w:t>
            </w:r>
          </w:p>
          <w:bookmarkEnd w:id="5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фолликулярная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C82.7</w:t>
            </w:r>
          </w:p>
          <w:bookmarkEnd w:id="5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 (Другие типы фолликулярной лимфомы)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C82.9</w:t>
            </w:r>
          </w:p>
          <w:bookmarkEnd w:id="5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 (Фолликулярная лимфома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C83.0</w:t>
            </w:r>
          </w:p>
          <w:bookmarkEnd w:id="5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мелкоклеточная (диффузная) (Мелкоклеточная В-клеточная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C83.1</w:t>
            </w:r>
          </w:p>
          <w:bookmarkEnd w:id="5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мелкоклеточная с расщепленными ядрами (диффузная) (Мантийно- клеточная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C83.3</w:t>
            </w:r>
          </w:p>
          <w:bookmarkEnd w:id="5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крупноклеточная (диффузная) - ретикулосаркома (Диффузная крупная B-клеточная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C83.5</w:t>
            </w:r>
          </w:p>
          <w:bookmarkEnd w:id="5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лимфобластная (диффузная) (Лимфобластная (диффузная)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C83.7</w:t>
            </w:r>
          </w:p>
          <w:bookmarkEnd w:id="5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Беркита (Лимфома Беркитта)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C83.8</w:t>
            </w:r>
          </w:p>
          <w:bookmarkEnd w:id="5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 (Другие нефолликулярные лимфомы)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C83.9</w:t>
            </w:r>
          </w:p>
          <w:bookmarkEnd w:id="5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неуточненная (Нефолликулярная (диффузная) лимфома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C84.0</w:t>
            </w:r>
          </w:p>
          <w:bookmarkEnd w:id="6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C84.1</w:t>
            </w:r>
          </w:p>
          <w:bookmarkEnd w:id="6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C84.4</w:t>
            </w:r>
          </w:p>
          <w:bookmarkEnd w:id="6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C84.5</w:t>
            </w:r>
          </w:p>
          <w:bookmarkEnd w:id="6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неуточненные Т-клеточные лимфомы (Другие зрелые T / NK-клеточные лимфомы)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C84.6</w:t>
            </w:r>
          </w:p>
          <w:bookmarkEnd w:id="6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C84.7</w:t>
            </w:r>
          </w:p>
          <w:bookmarkEnd w:id="6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C84.8</w:t>
            </w:r>
          </w:p>
          <w:bookmarkEnd w:id="6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Т-клеточная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C84.9</w:t>
            </w:r>
          </w:p>
          <w:bookmarkEnd w:id="6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C85.1</w:t>
            </w:r>
          </w:p>
          <w:bookmarkEnd w:id="6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C85.2</w:t>
            </w:r>
          </w:p>
          <w:bookmarkEnd w:id="6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(тимусная) большая В-клеточная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C85.7</w:t>
            </w:r>
          </w:p>
          <w:bookmarkEnd w:id="6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C85.9</w:t>
            </w:r>
          </w:p>
          <w:bookmarkEnd w:id="6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вида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C86.0</w:t>
            </w:r>
          </w:p>
          <w:bookmarkEnd w:id="6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Экстрадодальная NK/Т-клеточная лимфома, назальный тип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C86.1</w:t>
            </w:r>
          </w:p>
          <w:bookmarkEnd w:id="6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Почечно-селезеночная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C86.2</w:t>
            </w:r>
          </w:p>
          <w:bookmarkEnd w:id="6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C86.3</w:t>
            </w:r>
          </w:p>
          <w:bookmarkEnd w:id="6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панцикулитная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C86.4</w:t>
            </w:r>
          </w:p>
          <w:bookmarkEnd w:id="6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C86.5</w:t>
            </w:r>
          </w:p>
          <w:bookmarkEnd w:id="6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C86.6</w:t>
            </w:r>
          </w:p>
          <w:bookmarkEnd w:id="6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кожные CD30-положительные пролиферации Т-клеток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C88.0</w:t>
            </w:r>
          </w:p>
          <w:bookmarkEnd w:id="6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C88.2</w:t>
            </w:r>
          </w:p>
          <w:bookmarkEnd w:id="6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 Другие заболевания тяжелой цепи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C88.3</w:t>
            </w:r>
          </w:p>
          <w:bookmarkEnd w:id="6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C88.4</w:t>
            </w:r>
          </w:p>
          <w:bookmarkEnd w:id="6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Экстрадодальная B-клеточная лимфома маргинальной зоны лимфоидной ткани слизистой оболочки [MALT-лифома]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C88.7</w:t>
            </w:r>
          </w:p>
          <w:bookmarkEnd w:id="6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C88.9</w:t>
            </w:r>
          </w:p>
          <w:bookmarkEnd w:id="6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болезни, неуточненные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C90.0</w:t>
            </w:r>
          </w:p>
          <w:bookmarkEnd w:id="6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C90.2</w:t>
            </w:r>
          </w:p>
          <w:bookmarkEnd w:id="6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C90.3</w:t>
            </w:r>
          </w:p>
          <w:bookmarkEnd w:id="6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Солитарная плазмоцитома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C91.1</w:t>
            </w:r>
          </w:p>
          <w:bookmarkEnd w:id="6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(Хронический лимфоцитарный В-клеточный лейкоз)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C91.3</w:t>
            </w:r>
          </w:p>
          <w:bookmarkEnd w:id="6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(Пролимфоцитарный лейкоз В-клеточного типа)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C91.4</w:t>
            </w:r>
          </w:p>
          <w:bookmarkEnd w:id="6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 (Лейкемический ретикулоэндотелиоз)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C91.6</w:t>
            </w:r>
          </w:p>
          <w:bookmarkEnd w:id="6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T-клеточный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C91.7</w:t>
            </w:r>
          </w:p>
          <w:bookmarkEnd w:id="6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C91.8</w:t>
            </w:r>
          </w:p>
          <w:bookmarkEnd w:id="6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типа Беркитта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C91.9</w:t>
            </w:r>
          </w:p>
          <w:bookmarkEnd w:id="6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D47.2</w:t>
            </w:r>
          </w:p>
          <w:bookmarkEnd w:id="6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Монокланальная гаммапатия (Моноклональная гаммопатия неопределенного значения (MGUS))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"другие лейкозы"</w:t>
            </w:r>
          </w:p>
          <w:bookmarkEnd w:id="63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D47.7</w:t>
            </w:r>
          </w:p>
          <w:bookmarkEnd w:id="6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D47.9</w:t>
            </w:r>
          </w:p>
          <w:bookmarkEnd w:id="6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C94.7</w:t>
            </w:r>
          </w:p>
          <w:bookmarkEnd w:id="6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C95.1</w:t>
            </w:r>
          </w:p>
          <w:bookmarkEnd w:id="6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C95.7</w:t>
            </w:r>
          </w:p>
          <w:bookmarkEnd w:id="6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C95.9</w:t>
            </w:r>
          </w:p>
          <w:bookmarkEnd w:id="6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C96.0</w:t>
            </w:r>
          </w:p>
          <w:bookmarkEnd w:id="6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Леттерера-Сиве (Нелипидный ретикулоэндотелиоз, ретикулез) (Мультифокальный и мультисистемный (диссеминированный) гистиоцитоз Лангерганса)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C96.7</w:t>
            </w:r>
          </w:p>
          <w:bookmarkEnd w:id="6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Др.уточненные ЗНО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C96.9</w:t>
            </w:r>
          </w:p>
          <w:bookmarkEnd w:id="6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ЗНО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Z08.8</w:t>
            </w:r>
          </w:p>
          <w:bookmarkEnd w:id="6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другого метода лечения злокачественного новообразования</w:t>
            </w:r>
          </w:p>
        </w:tc>
      </w:tr>
    </w:tbl>
    <w:bookmarkStart w:name="z1264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Заболевания крови и кроветворных органов, не относящиеся к злокачественным (онкогематологическим заболеваниям) и/или депрессиям кроветворения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Сидеропеническая дисфагия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6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транскобаламина 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6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6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6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6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6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медикаментозная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6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6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6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6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6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обусловленная цингой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6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анемии, связанные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6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связанная с питанием,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6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 [Г-6-ФД]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6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других нарушений глутатионового обмена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6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гликолитических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6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метаболизма нуклеотидов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6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анемии вследствие ферментных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6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ферментного нарушения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6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6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6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6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6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талассемии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6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6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 Hb-SS болезнь с кризом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6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без криза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6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6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серповидно-клеточности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6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серповидно-клеточные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6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6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6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6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6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6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6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6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6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6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6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6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 вследствие гемолиза, вызванного другими внешними причинами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6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6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6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приобретенная чистая красноклеточная аплазия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7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7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7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7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bookmarkEnd w:id="7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bookmarkEnd w:id="7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bookmarkEnd w:id="7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bookmarkEnd w:id="7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или токсинами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bookmarkEnd w:id="7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bookmarkEnd w:id="7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  <w:bookmarkEnd w:id="7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bookmarkEnd w:id="7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bookmarkEnd w:id="7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bookmarkEnd w:id="7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bookmarkEnd w:id="7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bookmarkEnd w:id="7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bookmarkEnd w:id="7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bookmarkEnd w:id="7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  <w:bookmarkEnd w:id="7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bookmarkEnd w:id="7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bookmarkEnd w:id="7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bookmarkEnd w:id="7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bookmarkEnd w:id="7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bookmarkEnd w:id="7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bookmarkEnd w:id="7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  <w:bookmarkEnd w:id="7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  <w:bookmarkEnd w:id="7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  <w:bookmarkEnd w:id="7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  <w:bookmarkEnd w:id="7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Геморрагическое состояние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  <w:bookmarkEnd w:id="7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  <w:bookmarkEnd w:id="7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нарушения полиморфно-ядерных нейтрофилов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  <w:bookmarkEnd w:id="7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аномалии лейкоцитов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  <w:bookmarkEnd w:id="7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  <w:bookmarkEnd w:id="7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белых кровяных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  <w:bookmarkEnd w:id="7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белых кровяных клеток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  <w:bookmarkEnd w:id="7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Гипоспленизм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  <w:bookmarkEnd w:id="7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Гиперспленизм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  <w:bookmarkEnd w:id="7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застойная спленомегалия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  <w:bookmarkEnd w:id="7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  <w:bookmarkEnd w:id="7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метгемоглобинемии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  <w:bookmarkEnd w:id="7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Метгемоглобинемия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  <w:bookmarkEnd w:id="7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эритроцитоз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  <w:bookmarkEnd w:id="7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полицитемия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  <w:bookmarkEnd w:id="7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  <w:bookmarkEnd w:id="7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крови и кроветворных органов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  <w:bookmarkEnd w:id="7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  <w:bookmarkEnd w:id="7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  <w:bookmarkEnd w:id="7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гистиоцитозные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  <w:bookmarkEnd w:id="7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крови и кроветворных органов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  <w:bookmarkEnd w:id="7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осложняющая беременность, деторождение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  <w:bookmarkEnd w:id="7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 и отдельные нарушения с вовлечением иммунного механизма, осложняющие беременность, деторождение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  <w:bookmarkEnd w:id="7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  <w:bookmarkEnd w:id="7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злокачественную опухоль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  <w:bookmarkEnd w:id="7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Отторжение трансплантата костного мозга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90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работе центра компетенции</w:t>
      </w:r>
    </w:p>
    <w:bookmarkEnd w:id="754"/>
    <w:bookmarkStart w:name="z169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</w:p>
    <w:bookmarkEnd w:id="755"/>
    <w:bookmarkStart w:name="z169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компетенции – совокупность структур медицинских организаций и (или) самостоятельных медицинских организаций, объединенных с целью организации единого подхода к организации:</w:t>
      </w:r>
    </w:p>
    <w:bookmarkEnd w:id="756"/>
    <w:bookmarkStart w:name="z169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специализированной медицинской помощи; </w:t>
      </w:r>
    </w:p>
    <w:bookmarkEnd w:id="757"/>
    <w:bookmarkStart w:name="z169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методологической и консультативной помощи специалистам других профилей; </w:t>
      </w:r>
    </w:p>
    <w:bookmarkEnd w:id="758"/>
    <w:bookmarkStart w:name="z169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объемов и процессов медицинских услуг, при организации и оказании гематологической помощи взрослым пациентам с заболеваниями крови.</w:t>
      </w:r>
    </w:p>
    <w:bookmarkEnd w:id="759"/>
    <w:bookmarkStart w:name="z169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компетенции по организации и оказанию гематологической помощи взрослым пациентам с заболеваниями крови создается при существующих медицинских организациях, в которых оказывается гематологическая помощь, при этом в состав центра входят руководители гематологических подразделений, руководители медицинских организаций, сотрудники амбулаторного блока, сотрудники организационно-методической помощи и служба поддержки пациентов и/или самостоятельной медицинской организацией.</w:t>
      </w:r>
    </w:p>
    <w:bookmarkEnd w:id="760"/>
    <w:bookmarkStart w:name="z169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компетенции определяется приказом руководителя управления здравоохранения региона. Руководителем центра компетенции назначается руководитель медицинской организации, на базе которой создан центр компетенции или главный внештатный гематолог региона.</w:t>
      </w:r>
    </w:p>
    <w:bookmarkEnd w:id="761"/>
    <w:bookmarkStart w:name="z169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если в центр компетенции входят несколько медицинских организаций, приказом руководителя управления здравоохранения региона обеспечивается взаимодействие данных медицинских организаций.</w:t>
      </w:r>
    </w:p>
    <w:bookmarkEnd w:id="762"/>
    <w:bookmarkStart w:name="z169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функции центра компетенции:</w:t>
      </w:r>
    </w:p>
    <w:bookmarkEnd w:id="763"/>
    <w:bookmarkStart w:name="z170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комплексного замкнутого цикла профилактики, диагностики, лечения, динамического наблюдения, реабилитации и паллиативной помощи пациентам с заболеваниями крови и кроветворных органов.</w:t>
      </w:r>
    </w:p>
    <w:bookmarkEnd w:id="764"/>
    <w:bookmarkStart w:name="z170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сопровождение медицинских организаций региона в вопросах раннего выявления и медицинской помощи больным с заболеваниями крови и кроветворных органов.</w:t>
      </w:r>
    </w:p>
    <w:bookmarkEnd w:id="765"/>
    <w:bookmarkStart w:name="z170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объемов медицинской помощи по специальности "гематология" (взрослая) в амбулаторных, стационарных и стационарозамещающих условиях, включая амбулаторное лекарственное обеспечение.</w:t>
      </w:r>
    </w:p>
    <w:bookmarkEnd w:id="766"/>
    <w:bookmarkStart w:name="z170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экспертизе качества медицинской помощи больным с заболеваниями крови и кроветворных органов.</w:t>
      </w:r>
    </w:p>
    <w:bookmarkEnd w:id="767"/>
    <w:bookmarkStart w:name="z170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региональных планов развития гематологической помощи.</w:t>
      </w:r>
    </w:p>
    <w:bookmarkEnd w:id="768"/>
    <w:bookmarkStart w:name="z170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основных индикаторов и составление отчетности по гематологической службе региона.</w:t>
      </w:r>
    </w:p>
    <w:bookmarkEnd w:id="769"/>
    <w:bookmarkStart w:name="z170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в местные исполнительные органы, уполномоченный орган, республиканский центр по улучшению качества и доступности медицинской помощи гематологическим больным.</w:t>
      </w:r>
    </w:p>
    <w:bookmarkEnd w:id="770"/>
    <w:bookmarkStart w:name="z170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статистического учета гематологической службы региона.</w:t>
      </w:r>
    </w:p>
    <w:bookmarkEnd w:id="771"/>
    <w:bookmarkStart w:name="z170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консилиумов, совещаний по вопросам гематологической помощи.</w:t>
      </w:r>
    </w:p>
    <w:bookmarkEnd w:id="772"/>
    <w:bookmarkStart w:name="z170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задачи регионального Центра компетенции на втором уровне регионализации гематологической помощи:</w:t>
      </w:r>
    </w:p>
    <w:bookmarkEnd w:id="773"/>
    <w:bookmarkStart w:name="z171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специализированной гематологической помощи пациентам с заболеваниями крови;</w:t>
      </w:r>
    </w:p>
    <w:bookmarkEnd w:id="774"/>
    <w:bookmarkStart w:name="z171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новых методов диагностики и лечения заболеваний крови, с использованием опыта мировой медицинской науки и практики, основанных на принципах доказательности;</w:t>
      </w:r>
    </w:p>
    <w:bookmarkEnd w:id="775"/>
    <w:bookmarkStart w:name="z171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образовательных программ по гематологии для профильных специалистов (семинары, лекции, тренинги);</w:t>
      </w:r>
    </w:p>
    <w:bookmarkEnd w:id="776"/>
    <w:bookmarkStart w:name="z171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гематологической помощи по региону и обеспечение маршрутизации пациента;</w:t>
      </w:r>
    </w:p>
    <w:bookmarkEnd w:id="777"/>
    <w:bookmarkStart w:name="z171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организационно-методическая помощь медицинским организациям и профильным специалистам по вопросам гематологии, в том числе разработка планов, дорожных карт, КП, стандартов организации оказания медицинской помощи, формирование и проведение анализа статистических показателей и выработки мер по улучшению организации гематологической помощи;</w:t>
      </w:r>
    </w:p>
    <w:bookmarkEnd w:id="778"/>
    <w:bookmarkStart w:name="z171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практической помощи врачам по вопросам организации и оказания медицинской помощи пациентам с заболеваниями крови;</w:t>
      </w:r>
    </w:p>
    <w:bookmarkEnd w:id="779"/>
    <w:bookmarkStart w:name="z171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динамическое наблюдение за пациентами с заболеваниями крови; </w:t>
      </w:r>
    </w:p>
    <w:bookmarkEnd w:id="780"/>
    <w:bookmarkStart w:name="z171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объемов закупа медицинских услуг в рамках ГОБМП и ОСМС в регионе;</w:t>
      </w:r>
    </w:p>
    <w:bookmarkEnd w:id="781"/>
    <w:bookmarkStart w:name="z171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объемов закупа лекарственных средств для бесплатного амбулаторного лекарственного обеспечения (далее – АЛО) в регионе;</w:t>
      </w:r>
    </w:p>
    <w:bookmarkEnd w:id="782"/>
    <w:bookmarkStart w:name="z171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эффективности обеспечения пациентов АЛО в регионе;</w:t>
      </w:r>
    </w:p>
    <w:bookmarkEnd w:id="783"/>
    <w:bookmarkStart w:name="z172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школ для пациентов с заболеваниями крови;</w:t>
      </w:r>
    </w:p>
    <w:bookmarkEnd w:id="784"/>
    <w:bookmarkStart w:name="z172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клинических и научных исследованиях по гематологии;</w:t>
      </w:r>
    </w:p>
    <w:bookmarkEnd w:id="785"/>
    <w:bookmarkStart w:name="z172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экспертной деятельности по вопросам оценки качестве медицинской помощи пациентам с заболеваниями крови в регионе;</w:t>
      </w:r>
    </w:p>
    <w:bookmarkEnd w:id="786"/>
    <w:bookmarkStart w:name="z172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организации мероприятий по развитию донорства крови и ее компонентов, гемопоэтических стволовых клеток;</w:t>
      </w:r>
    </w:p>
    <w:bookmarkEnd w:id="787"/>
    <w:bookmarkStart w:name="z172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образовательной деятельности для специалистов по вопросам гематологической помощи, в том числе в участие в подготовке, переподготовке и повышении квалификации специалистов, обучение и подготовка медицинских кадров в резидентуре, магистратуре и докторантуре по профилю (центр компетенций является клинической базой для медицинских высших учебных заведений).</w:t>
      </w:r>
    </w:p>
    <w:bookmarkEnd w:id="788"/>
    <w:bookmarkStart w:name="z172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Центра компетенции третьего уровня регионализации.</w:t>
      </w:r>
    </w:p>
    <w:bookmarkEnd w:id="789"/>
    <w:bookmarkStart w:name="z172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 же задачи, что и для Центра компетенции второго уровня регионализации, а также:</w:t>
      </w:r>
    </w:p>
    <w:bookmarkEnd w:id="790"/>
    <w:bookmarkStart w:name="z172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высокотехнологичной медицинской помощи;</w:t>
      </w:r>
    </w:p>
    <w:bookmarkEnd w:id="791"/>
    <w:bookmarkStart w:name="z172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трансферта технологий лечения и диагностики заболеваний крови в курируемых регионах.</w:t>
      </w:r>
    </w:p>
    <w:bookmarkEnd w:id="792"/>
    <w:bookmarkStart w:name="z172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задачи республиканского Центра компетенции.</w:t>
      </w:r>
    </w:p>
    <w:bookmarkEnd w:id="793"/>
    <w:bookmarkStart w:name="z173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 же задачи, что и для межрегиональных Центров компетенции для всех регионов Республики Казахстан, а также:</w:t>
      </w:r>
    </w:p>
    <w:bookmarkEnd w:id="794"/>
    <w:bookmarkStart w:name="z173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научно-практической, образовательной, экспертной, организационно-методической деятельности;</w:t>
      </w:r>
    </w:p>
    <w:bookmarkEnd w:id="795"/>
    <w:bookmarkStart w:name="z173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практику и трансферт современных, высокотехнологичных медицинских услуг;</w:t>
      </w:r>
    </w:p>
    <w:bookmarkEnd w:id="796"/>
    <w:bookmarkStart w:name="z173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совершенствование и внедрение высокотехнологичных методов диагностики и лечения с использованием результатов и опыта мировой медицинской науки и практики, основанных на принципах доказательности;</w:t>
      </w:r>
    </w:p>
    <w:bookmarkEnd w:id="797"/>
    <w:bookmarkStart w:name="z173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приоритетных образовательных и научно-исследовательских направлений, участие в разработке образовательных программ;</w:t>
      </w:r>
    </w:p>
    <w:bookmarkEnd w:id="798"/>
    <w:bookmarkStart w:name="z173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и подготовка медицинских кадров в магистратуре и докторантуре по профилю;</w:t>
      </w:r>
    </w:p>
    <w:bookmarkEnd w:id="799"/>
    <w:bookmarkStart w:name="z173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текущей ситуации по профилю в разрезе регионов и по республике, анализ статистических показателей и эффективности внедряемых технологий, определение основных направлений стратегий для развития службы и повышения качества и доступности гематологической помощи;</w:t>
      </w:r>
    </w:p>
    <w:bookmarkEnd w:id="800"/>
    <w:bookmarkStart w:name="z173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научно-практических, образовательных мероприятий по профилю.</w:t>
      </w:r>
    </w:p>
    <w:bookmarkEnd w:id="801"/>
    <w:bookmarkStart w:name="z173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полномочия центра компетенции. Для выполнения функций и задач центр компетенции вправе:</w:t>
      </w:r>
    </w:p>
    <w:bookmarkEnd w:id="802"/>
    <w:bookmarkStart w:name="z173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статистическую информацию по деперсонифицированной базе пациентов, включая формы государственной статистической отчетности в организациях Республиканское государственное предприятие на праве хозяйственного ведомства "Республиканский центр электронного здравоохранения", организации ПМСП, многопрофильные организации, Фонд, управление здравоохранения региона, республиканские центры.</w:t>
      </w:r>
    </w:p>
    <w:bookmarkEnd w:id="803"/>
    <w:bookmarkStart w:name="z174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совещаниях управления здравоохранения региона, уполномоченного органа, республиканского центра, Фонда по вопросам гематологической помощи.</w:t>
      </w:r>
    </w:p>
    <w:bookmarkEnd w:id="804"/>
    <w:bookmarkStart w:name="z174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экспертных и рабочих группах по вопросам гематологической помощи, в том числе в комиссиях по оценке соответствия поставщиков медицинских услуг по гематологии в своем регионе.</w:t>
      </w:r>
    </w:p>
    <w:bookmarkEnd w:id="805"/>
    <w:bookmarkStart w:name="z174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организации работы Центра компетенции.</w:t>
      </w:r>
    </w:p>
    <w:bookmarkEnd w:id="806"/>
    <w:bookmarkStart w:name="z174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компетенции взаимодействует с организациями ПМСП региона и медицинскими организациями иных профилей по маршрутизации пациентов.</w:t>
      </w:r>
    </w:p>
    <w:bookmarkEnd w:id="807"/>
    <w:bookmarkStart w:name="z174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списки, подлежащих динамическому наблюдению в разрезе каждой ПМСП и формирует график осмотра данных пациентов и объем необходимой помощи. При невыполнении графика направляет соответствующий отчет руководителю организации ПМСП и в управление здравоохранения.</w:t>
      </w:r>
    </w:p>
    <w:bookmarkEnd w:id="808"/>
    <w:bookmarkStart w:name="z174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обучение ПМСП по первичной диагностике заболеваний крови и организует необходимые маршруты.</w:t>
      </w:r>
    </w:p>
    <w:bookmarkEnd w:id="809"/>
    <w:bookmarkStart w:name="z174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обучение медицинского персонала организаций иного профиля по диагностике и маршрутизации пациентов с заболеваниями крови и осложнениями.</w:t>
      </w:r>
    </w:p>
    <w:bookmarkEnd w:id="810"/>
    <w:bookmarkStart w:name="z174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маршрутизацию пациента с гематологическим заболеванием при необходимости лучевого, хирургического лечения или технологий иного профиля, в том числе организует работу врачебных консилиумов.</w:t>
      </w:r>
    </w:p>
    <w:bookmarkEnd w:id="811"/>
    <w:bookmarkStart w:name="z174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компетенции организует амбулаторное лечение пациентов с заболеваниями крови.</w:t>
      </w:r>
    </w:p>
    <w:bookmarkEnd w:id="812"/>
    <w:bookmarkStart w:name="z174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выдачи пациентам, находящимся на амбулаторном лечении специфических лекарственных препаратов, включая химиопрепараты и препараты факторов свертывания крови организуется лекарственный отдел, включающий кабинет расфасовки и маркировки лекарственных средств, работа которого регламентируется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сентября 2020 года № ҚР ДСМ-104/2020 "Об утверждении Правил оптовой и розничной реализации лекарственных средств и медицинских изделий".</w:t>
      </w:r>
    </w:p>
    <w:bookmarkEnd w:id="813"/>
    <w:bookmarkStart w:name="z175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Медицинской сестрой амбулаторного блока ведется выборочный мониторинг приема лекарственных препаратов пациентами с использованием дистанционных цифровых технологий.</w:t>
      </w:r>
    </w:p>
    <w:bookmarkEnd w:id="814"/>
    <w:bookmarkStart w:name="z175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пациентов, которые подлежат амбулаторному лекарственному обеспечению и проживают в отдаленных населенных пунктах организуются выезды в регионы, а также допускается взаимодействие с медицинскими организациями ПМСП в данном населенном пункте по выдаче и мониторингу лекарственных средств, в том числе с использованием договоров ответ-хранения лекарственных средств.</w:t>
      </w:r>
    </w:p>
    <w:bookmarkEnd w:id="815"/>
    <w:bookmarkStart w:name="z175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Флаконы с препаратами факторов свертывания крови, выданные пациентам с наследственными факторами свертывания крови, подлежат учету и возврату после использованиями пациентами, и утилизируются согласно учету с выданными флаконами в Центре компетенции.</w:t>
      </w:r>
    </w:p>
    <w:bookmarkEnd w:id="816"/>
    <w:bookmarkStart w:name="z175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Врачами, осуществляющими динамическое наблюдение в Центре компетенции проводится мониторинг по категориям:</w:t>
      </w:r>
    </w:p>
    <w:bookmarkEnd w:id="817"/>
    <w:bookmarkStart w:name="z175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получающие амбулаторное лекарственное обеспечение.</w:t>
      </w:r>
    </w:p>
    <w:bookmarkEnd w:id="818"/>
    <w:bookmarkStart w:name="z175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впервые установленным диагнозом.</w:t>
      </w:r>
    </w:p>
    <w:bookmarkEnd w:id="819"/>
    <w:bookmarkStart w:name="z175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ранее установленным диагнозом, но взятые на учет впервые.</w:t>
      </w:r>
    </w:p>
    <w:bookmarkEnd w:id="820"/>
    <w:bookmarkStart w:name="z175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подлежащие трансплантации гемопоэтических стволовых клеток.</w:t>
      </w:r>
    </w:p>
    <w:bookmarkEnd w:id="821"/>
    <w:bookmarkStart w:name="z175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выполненной трансплантацией гемопоэтических стволовых клеток.</w:t>
      </w:r>
    </w:p>
    <w:bookmarkEnd w:id="822"/>
    <w:bookmarkStart w:name="z175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Умершие пациенты.</w:t>
      </w:r>
    </w:p>
    <w:bookmarkEnd w:id="823"/>
    <w:bookmarkStart w:name="z176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снятые с учета.</w:t>
      </w:r>
    </w:p>
    <w:bookmarkEnd w:id="824"/>
    <w:bookmarkStart w:name="z176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направленные на лечение в другие медицинские центры (по вопросам оказания гематологической помощи).</w:t>
      </w:r>
    </w:p>
    <w:bookmarkEnd w:id="825"/>
    <w:bookmarkStart w:name="z176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ответами на терапию.</w:t>
      </w:r>
    </w:p>
    <w:bookmarkEnd w:id="826"/>
    <w:bookmarkStart w:name="z176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Паллиативные пациенты.</w:t>
      </w:r>
    </w:p>
    <w:bookmarkEnd w:id="827"/>
    <w:bookmarkStart w:name="z176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данных пациентов ведется учет маршрутов, проводится анализ статистических данных в соответствии с ключевыми индикаторами результативности.</w:t>
      </w:r>
    </w:p>
    <w:bookmarkEnd w:id="828"/>
    <w:bookmarkStart w:name="z176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Статистический учет ведется гематологами центров компетенции в каждом регионе согласно утвержденным правилам. Ведение учета пациента в электронном регистре онкологических больных ведется специалистами центров компетенции второго и третьего уровней регионализации.</w:t>
      </w:r>
    </w:p>
    <w:bookmarkEnd w:id="829"/>
    <w:bookmarkStart w:name="z176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Пациенты с заболеваниями крови и кроветворных органов, требующих гематологической помощи в виде специализированной гематологической медицинской помощи, высокотехнологичных медицинских услуг снимаются с учета в случаях:</w:t>
      </w:r>
    </w:p>
    <w:bookmarkEnd w:id="830"/>
    <w:bookmarkStart w:name="z176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переезда в другую страну или область, при смене постоянного места жительства; </w:t>
      </w:r>
    </w:p>
    <w:bookmarkEnd w:id="831"/>
    <w:bookmarkStart w:name="z176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диагноза;</w:t>
      </w:r>
    </w:p>
    <w:bookmarkEnd w:id="832"/>
    <w:bookmarkStart w:name="z176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основании окончательного медицинского свидетельства о смерти.</w:t>
      </w:r>
    </w:p>
    <w:bookmarkEnd w:id="833"/>
    <w:bookmarkStart w:name="z177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учет гематологических заболеваний ведется пожизненно, за исключением дефицитных анемий, которые снимаются с учета после получения ответа на терапию согласно КП диагностики и лечения.</w:t>
      </w:r>
    </w:p>
    <w:bookmarkEnd w:id="834"/>
    <w:bookmarkStart w:name="z177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медицинской помощи в амбулаторных, стационарных и стационарозамещающих условиях проводится в соответствии с положениями данного Стандарта и КП.</w:t>
      </w:r>
    </w:p>
    <w:bookmarkEnd w:id="835"/>
    <w:bookmarkStart w:name="z177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проведении экспертизы качества оказываемой медицинской помощи сотрудники Центра компетенции контактируют с организациями и органами, уполномоченными проводить экспертизу качества медицинской помощи и методическое сопровождение, в том числе Фонда, организациями, деятельность которых специализируется в области службы крови и вопросах оказания медицинской помощи пациентам с ВИЧ инфекцией.</w:t>
      </w:r>
    </w:p>
    <w:bookmarkEnd w:id="8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74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медицинским организациям, оказывающим гематологическую помощь</w:t>
      </w:r>
    </w:p>
    <w:bookmarkEnd w:id="837"/>
    <w:bookmarkStart w:name="z1775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Минимальный штат работников организаций, оказывающих гематологическую помощь в амбулаторных условиях</w:t>
      </w:r>
    </w:p>
    <w:bookmarkEnd w:id="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  <w:bookmarkEnd w:id="8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Врач-гематолог</w:t>
            </w:r>
          </w:p>
          <w:bookmarkEnd w:id="8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100 000 взрослого населения в области, городе республиканского значения (общий расчет для первого, второго и третьего уровня регионализации)</w:t>
            </w:r>
          </w:p>
        </w:tc>
      </w:tr>
    </w:tbl>
    <w:bookmarkStart w:name="z1782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Минимальный норматив коечного фонда организации, оказывающую гематологическую помощь</w:t>
      </w:r>
    </w:p>
    <w:bookmarkEnd w:id="8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  <w:bookmarkEnd w:id="8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расчета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</w:p>
          <w:bookmarkEnd w:id="8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койки в составе дневного стационара многопрофильной больницы при отсутствии коек на втором уровне регионализации в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</w:p>
          <w:bookmarkEnd w:id="8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коек в составе круглосуточного стационара многопрофильной больницы при отсутствии коек на втором уровне регионализации в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</w:p>
          <w:bookmarkEnd w:id="8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коек на 100 000 взрослого населения в составе гематологического отделения в области, городах республиканского значения. Для гематологических отделений в составе онкологических медицинских организаций не менее 2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</w:p>
          <w:bookmarkEnd w:id="8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коек на 100 000 взрослого населения в составе гематологического отделения в области, городах республиканского значения. Для лечения острых лейкозов в режиме индукции и консолидации - не менее 2 коек для интенсивной терапии.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гематологических отделений в составе онкологических медицинских организаций не менее 10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</w:t>
            </w:r>
          </w:p>
          <w:bookmarkEnd w:id="8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коек на 100 000 взрослого населения в составе гематологического отделения в области, городах республиканского значения. Для гематологических отделений в составе онкологических медицинских организаций не менее 2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</w:t>
            </w:r>
          </w:p>
          <w:bookmarkEnd w:id="8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коек на 100 000 взрослого населения в составе гематологического отделения в области, городах республиканского значения. Для лечения острых лейкозов в режиме индукции и консолидации - не менее 2 коек для интенсивной терапии.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гематологических отделений в составе онкологических медицинских организаций не менее 10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</w:t>
            </w:r>
          </w:p>
          <w:bookmarkEnd w:id="8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</w:t>
            </w:r>
          </w:p>
          <w:bookmarkEnd w:id="8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коек, в том числе в составе отделения не менее 6 трансплантационных коек, не менее 4 – коек для интенсивной терапии</w:t>
            </w:r>
          </w:p>
        </w:tc>
      </w:tr>
    </w:tbl>
    <w:bookmarkStart w:name="z1821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Особые требования к размещению пациентов</w:t>
      </w:r>
    </w:p>
    <w:bookmarkEnd w:id="8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  <w:bookmarkEnd w:id="8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индукции и консолидации острых лейкозов</w:t>
            </w:r>
          </w:p>
          <w:bookmarkEnd w:id="8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пациенты в режиме индукции и консолидации должны доступ к палате интенсивной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аллогенной и гаплоидентичной трансплантации гемопоэтических стволовых клеток</w:t>
            </w:r>
          </w:p>
          <w:bookmarkEnd w:id="8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одноместное размещение в палатах, оснащенных как палаты интенсивной терапии, относящихся к чистым помещениям согласно требованиям в сфере санитарно-эпидемиологического благополучия</w:t>
            </w:r>
          </w:p>
        </w:tc>
      </w:tr>
    </w:tbl>
    <w:bookmarkStart w:name="z1831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Минимальный штатный норматив организации, оказывающую</w:t>
      </w:r>
      <w:r>
        <w:br/>
      </w:r>
      <w:r>
        <w:rPr>
          <w:rFonts w:ascii="Times New Roman"/>
          <w:b/>
          <w:i w:val="false"/>
          <w:color w:val="000000"/>
        </w:rPr>
        <w:t>гематологическую помощь в стационарных и стационарозамещающих условия</w:t>
      </w:r>
      <w:r>
        <w:br/>
      </w:r>
      <w:r>
        <w:rPr>
          <w:rFonts w:ascii="Times New Roman"/>
          <w:b/>
          <w:i w:val="false"/>
          <w:color w:val="000000"/>
        </w:rPr>
        <w:t>(количество должностей указано в штатных единицах)</w:t>
      </w:r>
    </w:p>
    <w:bookmarkEnd w:id="8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  <w:bookmarkEnd w:id="8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отделением</w:t>
            </w:r>
          </w:p>
          <w:bookmarkEnd w:id="8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ставки должности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ставки должности на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должности на отделение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Врач-гематолог</w:t>
            </w:r>
          </w:p>
          <w:bookmarkEnd w:id="8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10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10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7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7 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5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5 коек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Врач-гематолог отделения ТКМ</w:t>
            </w:r>
          </w:p>
          <w:bookmarkEnd w:id="8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2 койки ТКМ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2 койки ТКМ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  <w:bookmarkEnd w:id="8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 ставки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отделение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медицинская сестра</w:t>
            </w:r>
          </w:p>
          <w:bookmarkEnd w:id="8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должностей (отдельно 1 на отделение ТКМ)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палатная (постовая)</w:t>
            </w:r>
          </w:p>
          <w:bookmarkEnd w:id="8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(4,75) на каждые 5 коек отделения, в отделениях ТКМ 1 круглосуточный пост на 2 койки ТКМ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процедурной</w:t>
            </w:r>
          </w:p>
          <w:bookmarkEnd w:id="8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трансфузионная</w:t>
            </w:r>
          </w:p>
          <w:bookmarkEnd w:id="8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Младшая медицинская сестра по уходу за больными</w:t>
            </w:r>
          </w:p>
          <w:bookmarkEnd w:id="8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(4,75) на каждые 5 коек отделения, в отделениях ТКМ 1 круглосуточный пост на 2 койки ТКМ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Сестра-хозяйка</w:t>
            </w:r>
          </w:p>
          <w:bookmarkEnd w:id="8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(отдельно 1 на отделение ТКМ)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(отдельно 1 на отделение ТКМ)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 (-ка)</w:t>
            </w:r>
          </w:p>
          <w:bookmarkEnd w:id="8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Буфетчица</w:t>
            </w:r>
          </w:p>
          <w:bookmarkEnd w:id="8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палаты интенсивной терапии</w:t>
            </w:r>
          </w:p>
          <w:bookmarkEnd w:id="8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Рассчитываются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26 апреля 2023 года № 78 "Об утверждении стандарта организации оказания анестезиологической и реаниматологической помощи в Республике Казахстан" для лечения острых лейкозов в режимах индукции и консолидации, и выполнения высокотехнологичной медицинской помощи при условии выделенных ставок в составе штатного расписания гематологического отделения</w:t>
            </w:r>
          </w:p>
        </w:tc>
      </w:tr>
    </w:tbl>
    <w:p>
      <w:pPr>
        <w:spacing w:after="0"/>
        <w:ind w:left="0"/>
        <w:jc w:val="both"/>
      </w:pPr>
      <w:bookmarkStart w:name="z1964" w:id="872"/>
      <w:r>
        <w:rPr>
          <w:rFonts w:ascii="Times New Roman"/>
          <w:b w:val="false"/>
          <w:i w:val="false"/>
          <w:color w:val="000000"/>
          <w:sz w:val="28"/>
        </w:rPr>
        <w:t>
      ДС – дневной стационар (стационарозамещающие условия)</w:t>
      </w:r>
    </w:p>
    <w:bookmarkEnd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 – круглосуточный стационар (стационарные условия)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66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пациентов при оказании гематологической помощи и объемы медицинской помощи в медицинских организациях по уровням регионализации</w:t>
      </w:r>
    </w:p>
    <w:bookmarkEnd w:id="873"/>
    <w:p>
      <w:pPr>
        <w:spacing w:after="0"/>
        <w:ind w:left="0"/>
        <w:jc w:val="both"/>
      </w:pPr>
      <w:bookmarkStart w:name="z1967" w:id="874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и сокращения:</w:t>
      </w:r>
    </w:p>
    <w:bookmarkEnd w:id="874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81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Обязательное событие, шаг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Дополнительная информация (вкладка) – отображается после схем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КП – клинический протокол диагностики и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5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6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7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госпитализация пациентов с наследственными дефицитами факторов свертывания крови требует госпитализации в ближайший стационар до стабилизации состояния при обязательном ведении гематологом и лабораторном мониторинге. После стабилизации состояния (снижение интенсивности болевого синдрома, купирование риска кровоизлияния в головной мозг, купирование явных кровотечений с угрозой жизни – перевод в гематологическое отделение</w:t>
      </w:r>
    </w:p>
    <w:bookmarkEnd w:id="878"/>
    <w:bookmarkStart w:name="z1972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Признаки гематологических заболеваний (подозрение на заболевания крови)</w:t>
      </w:r>
    </w:p>
    <w:bookmarkEnd w:id="879"/>
    <w:bookmarkStart w:name="z197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Категории пациентов:</w:t>
      </w:r>
    </w:p>
    <w:bookmarkEnd w:id="880"/>
    <w:bookmarkStart w:name="z197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пациенты с хроническими заболеваниями, включая хроническую почечную недостаточность, аутоимунные заболевания, злокачественные новообразования негематологического профиля, другие хронические заболевания;</w:t>
      </w:r>
    </w:p>
    <w:bookmarkEnd w:id="881"/>
    <w:bookmarkStart w:name="z197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 с ранее установленными заболеваниями крови, у которых была достигнута ремиссия;</w:t>
      </w:r>
    </w:p>
    <w:bookmarkEnd w:id="882"/>
    <w:bookmarkStart w:name="z197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пациенты, получающие лечение препаратами, способными вызывать угнетение костного мозга (цитостатики, иммуносупрессоры, кортикостероидные гормоны, противоэпилептические препараты и другие лекарственные средства, которые обладают эффектом миелосупрессии);</w:t>
      </w:r>
    </w:p>
    <w:bookmarkEnd w:id="883"/>
    <w:bookmarkStart w:name="z197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пациенты с нарушением питания (вегетарианцы, пациенты с дефицитом витаминов и микроэлементов, например, B12, фолиевой кислоты, железа);</w:t>
      </w:r>
    </w:p>
    <w:bookmarkEnd w:id="884"/>
    <w:bookmarkStart w:name="z197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женщины фертильного возраста, страдающие утомляемостью, полименорреями.</w:t>
      </w:r>
    </w:p>
    <w:bookmarkEnd w:id="885"/>
    <w:bookmarkStart w:name="z197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пациенты с геморрагическими синдромами (кровоточивость десен, синяки при минимальной травматизации, носовые кровотечения, геморрагическая сыпь, обильные менструации);</w:t>
      </w:r>
    </w:p>
    <w:bookmarkEnd w:id="886"/>
    <w:bookmarkStart w:name="z198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пациенты с органомегалией и лимфоаденопатией;</w:t>
      </w:r>
    </w:p>
    <w:bookmarkEnd w:id="887"/>
    <w:bookmarkStart w:name="z198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пациенты с неспецифическими синдромами: немотивированная потеря веса, длительная лихорадка, синдром ускоренного СОЭ, боли в костях, очаги деструкции в костях, солидные образования, выявленные методом лучевой визуализации (головной мозг, спинной мозг, желудок, брюшная полость, малый таз, мышцы, внутренние лимфоузлы, желтуха, бледность кожи и слизистых, трофические изменения кожных покровов (сухость, ломкость ногтей, выпадение волос), увеличение белка в моче и сыворотке крови, ночная потливость, кожный зуд;</w:t>
      </w:r>
    </w:p>
    <w:bookmarkEnd w:id="888"/>
    <w:bookmarkStart w:name="z198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беременности:</w:t>
      </w:r>
    </w:p>
    <w:bookmarkEnd w:id="889"/>
    <w:bookmarkStart w:name="z198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анамнестические факторы:</w:t>
      </w:r>
    </w:p>
    <w:bookmarkEnd w:id="890"/>
    <w:bookmarkStart w:name="z198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женщины, у которых были предыдущие многоплодные беременности (двойни, тройни и более);</w:t>
      </w:r>
    </w:p>
    <w:bookmarkEnd w:id="891"/>
    <w:bookmarkStart w:name="z198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женщины с повторяющимися беременностями с интервалом менее 2 лет (недостаточный период восстановления запасов железа и микроэлементов);</w:t>
      </w:r>
    </w:p>
    <w:bookmarkEnd w:id="892"/>
    <w:bookmarkStart w:name="z198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наличие в анамнезе акушерских кровотечений (во время предыдущих родов или в послеродовом периоде);</w:t>
      </w:r>
    </w:p>
    <w:bookmarkEnd w:id="893"/>
    <w:bookmarkStart w:name="z198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частые носовые, десневые и другие кровотечения;</w:t>
      </w:r>
    </w:p>
    <w:bookmarkEnd w:id="894"/>
    <w:bookmarkStart w:name="z198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наличие в анамнезе установленного факта заболевания крови, в том числе железодефицитной анемии;</w:t>
      </w:r>
    </w:p>
    <w:bookmarkEnd w:id="895"/>
    <w:bookmarkStart w:name="z198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наличие в анамнезе хронических заболеваний желудочно-кишечного тракта, аутоиммунных заболеваний, хронических заболеваний почек, щитовидной железы, злокачественных новообразований;</w:t>
      </w:r>
    </w:p>
    <w:bookmarkEnd w:id="896"/>
    <w:bookmarkStart w:name="z199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наличие факта в анамнезе приема лекарственных средств, которые могут привести к угнетению костного мозга.</w:t>
      </w:r>
    </w:p>
    <w:bookmarkEnd w:id="897"/>
    <w:bookmarkStart w:name="z199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факторы питания:</w:t>
      </w:r>
    </w:p>
    <w:bookmarkEnd w:id="898"/>
    <w:bookmarkStart w:name="z199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вегетарианское или веганское питание, не обеспечивающее поступление достаточного количества гемового железа и витаминов (в особенности B12 и фолиевой кислоты);</w:t>
      </w:r>
    </w:p>
    <w:bookmarkEnd w:id="899"/>
    <w:bookmarkStart w:name="z199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ограничительное питание или соблюдение строгих диет до и во время беременности;</w:t>
      </w:r>
    </w:p>
    <w:bookmarkEnd w:id="900"/>
    <w:bookmarkStart w:name="z199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Клинические данные:</w:t>
      </w:r>
    </w:p>
    <w:bookmarkEnd w:id="901"/>
    <w:bookmarkStart w:name="z199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индекс массы тела ниже 18,5 до беременности;</w:t>
      </w:r>
    </w:p>
    <w:bookmarkEnd w:id="902"/>
    <w:bookmarkStart w:name="z199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бледность или желтушность кожных покровов;</w:t>
      </w:r>
    </w:p>
    <w:bookmarkEnd w:id="903"/>
    <w:bookmarkStart w:name="z199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наличие высыпаний геморрагического характера (синяки, петехии, экхимозы);</w:t>
      </w:r>
    </w:p>
    <w:bookmarkEnd w:id="904"/>
    <w:bookmarkStart w:name="z199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наличие любых кровотечений;</w:t>
      </w:r>
    </w:p>
    <w:bookmarkEnd w:id="905"/>
    <w:bookmarkStart w:name="z199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увеличение лимфоузлов, печени или селезенки;</w:t>
      </w:r>
    </w:p>
    <w:bookmarkEnd w:id="906"/>
    <w:bookmarkStart w:name="z200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наличие болей в костях;</w:t>
      </w:r>
    </w:p>
    <w:bookmarkEnd w:id="907"/>
    <w:bookmarkStart w:name="z200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утомляемость и слабость;</w:t>
      </w:r>
    </w:p>
    <w:bookmarkEnd w:id="908"/>
    <w:bookmarkStart w:name="z200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ночная потливость;</w:t>
      </w:r>
    </w:p>
    <w:bookmarkEnd w:id="909"/>
    <w:bookmarkStart w:name="z200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снижение веса;</w:t>
      </w:r>
    </w:p>
    <w:bookmarkEnd w:id="910"/>
    <w:bookmarkStart w:name="z200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лихорадка неясного генеза;</w:t>
      </w:r>
    </w:p>
    <w:bookmarkEnd w:id="911"/>
    <w:bookmarkStart w:name="z200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немотивированное повышение СОЭ;</w:t>
      </w:r>
    </w:p>
    <w:bookmarkEnd w:id="912"/>
    <w:bookmarkStart w:name="z200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 низкий уровень ферритина (&lt;30 мкг/л) или сывороточного железа на ранних сроках беременности (до 12 недель);</w:t>
      </w:r>
    </w:p>
    <w:bookmarkEnd w:id="913"/>
    <w:bookmarkStart w:name="z200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 изменение клеточного состава крови (снижение или увеличение форменных элементов – тромбоцитов, лейкоцитов);</w:t>
      </w:r>
    </w:p>
    <w:bookmarkEnd w:id="914"/>
    <w:bookmarkStart w:name="z200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 изменение коагулограммы;</w:t>
      </w:r>
    </w:p>
    <w:bookmarkEnd w:id="915"/>
    <w:bookmarkStart w:name="z200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 низкий уровень гемоглобина;</w:t>
      </w:r>
    </w:p>
    <w:bookmarkEnd w:id="916"/>
    <w:bookmarkStart w:name="z201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2.16. низкий уровень витамина B12 и фолиевой кислоты.</w:t>
      </w:r>
    </w:p>
    <w:bookmarkEnd w:id="917"/>
    <w:bookmarkStart w:name="z201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Обязательный минимум обследования:</w:t>
      </w:r>
    </w:p>
    <w:bookmarkEnd w:id="918"/>
    <w:bookmarkStart w:name="z201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исследование общего анализа крови и СОЭ;</w:t>
      </w:r>
    </w:p>
    <w:bookmarkEnd w:id="919"/>
    <w:bookmarkStart w:name="z201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ручной подсчет лейкоцитов с формулой и тромбоцитов в случае снижения уровня лейкоцитов и тромбоцитов;</w:t>
      </w:r>
    </w:p>
    <w:bookmarkEnd w:id="920"/>
    <w:bookmarkStart w:name="z201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исследование коагулограммы;</w:t>
      </w:r>
    </w:p>
    <w:bookmarkEnd w:id="921"/>
    <w:bookmarkStart w:name="z201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исследование биохимических показателей (общий белок, билирубин с фракциями, креатинин);</w:t>
      </w:r>
    </w:p>
    <w:bookmarkEnd w:id="922"/>
    <w:bookmarkStart w:name="z201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анемии исследование уровня сывороточного железа, ферритина, уровня В12 и фолиевой кислоты;</w:t>
      </w:r>
    </w:p>
    <w:bookmarkEnd w:id="923"/>
    <w:bookmarkStart w:name="z201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исследование показателей общего анализа мочи;</w:t>
      </w:r>
    </w:p>
    <w:bookmarkEnd w:id="924"/>
    <w:bookmarkStart w:name="z201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пальпация лимфоузлов, брюшной полости;</w:t>
      </w:r>
    </w:p>
    <w:bookmarkEnd w:id="925"/>
    <w:bookmarkStart w:name="z201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ультразвуковая диагностика органов брюшной полости.</w:t>
      </w:r>
    </w:p>
    <w:bookmarkEnd w:id="926"/>
    <w:bookmarkStart w:name="z202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для экстренной госпитализации при подозрении на заболевание крови или наличии установленного диагноза</w:t>
      </w:r>
    </w:p>
    <w:bookmarkEnd w:id="927"/>
    <w:bookmarkStart w:name="z202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Фебрильная нейтропения (температура ≥38 °C и нейтрофилы &lt;0,5×10⁹/л).</w:t>
      </w:r>
    </w:p>
    <w:bookmarkEnd w:id="928"/>
    <w:bookmarkStart w:name="z202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Острый гемолиз различного генеза с анемическим синдромом</w:t>
      </w:r>
    </w:p>
    <w:bookmarkEnd w:id="929"/>
    <w:bookmarkStart w:name="z202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Острая почечная недостаточность при заболеваниях крови.</w:t>
      </w:r>
    </w:p>
    <w:bookmarkEnd w:id="930"/>
    <w:bookmarkStart w:name="z202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Острый лейкоз или его подозрение (бластные клетки в крови, выраженные геморрагические, инфекционные или анемические синдромы).</w:t>
      </w:r>
    </w:p>
    <w:bookmarkEnd w:id="931"/>
    <w:bookmarkStart w:name="z202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Гиперкальциемия или синдром лизиса опухоли (гиперкалиемия, гиперурикемия, гиперфосфатемия).</w:t>
      </w:r>
    </w:p>
    <w:bookmarkEnd w:id="932"/>
    <w:bookmarkStart w:name="z202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Тяжелая тромбоцитопения (тромбоциты ниже 20×10⁹/л) с высоким риском кровотечения.</w:t>
      </w:r>
    </w:p>
    <w:bookmarkEnd w:id="933"/>
    <w:bookmarkStart w:name="z202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Острые состояния при гемофилии и других наследственных коагулопатиях (тяжелые кровоизлияния в суставы, органы, ЦНС, крупные гематомы).</w:t>
      </w:r>
    </w:p>
    <w:bookmarkEnd w:id="934"/>
    <w:bookmarkStart w:name="z202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Тяжелая анемия (гемоглобин менее 60 г/л (за исключением состояний, при которых данный показатель гемоглобина является клинически скомпенсирован (определяет врач гематолог)) или тяжелая симптоматика при Hb менее 80 г/л — гипоксия, сердечная недостаточность), быстрое снижение гемоглобина.</w:t>
      </w:r>
    </w:p>
    <w:bookmarkEnd w:id="935"/>
    <w:bookmarkStart w:name="z202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Тяжелый сепсис или септический шок при заболеваниях крови.</w:t>
      </w:r>
    </w:p>
    <w:bookmarkEnd w:id="936"/>
    <w:bookmarkStart w:name="z203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Острые осложнения трансплантации костного мозга и клеточной терапии:</w:t>
      </w:r>
    </w:p>
    <w:bookmarkEnd w:id="937"/>
    <w:bookmarkStart w:name="z203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реакция "трансплантат против хозяина";</w:t>
      </w:r>
    </w:p>
    <w:bookmarkEnd w:id="938"/>
    <w:bookmarkStart w:name="z203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цитокиновый шторм.</w:t>
      </w:r>
    </w:p>
    <w:bookmarkEnd w:id="939"/>
    <w:bookmarkStart w:name="z203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Другие показания согласно КП.</w:t>
      </w:r>
    </w:p>
    <w:bookmarkEnd w:id="940"/>
    <w:bookmarkStart w:name="z2034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Объемы диагностики и медицинской гематологической помощи по уровням регионализации</w:t>
      </w:r>
    </w:p>
    <w:bookmarkEnd w:id="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  <w:bookmarkEnd w:id="9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группа (исследования, необходимые для установления диагноза)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проведения: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исследования общего анализа крови и ручного подсчета форменных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коагулологических методов, включая стандартную коагулограмму, определение активности факторов свертывания крови VIII, IX, XI, VII и ингибиторов к ним, активность фактора фон Виллебранда;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функциональной диагностики, включая электрокардиограмму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проведения: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Исследования общего анализа крови и ручного подсчета форменных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Исследования общего анализа мочи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Иммунологические исследования включая иммунохимические анализы методом иммунофиксации белков крови и мочи;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Исследования газов и электролитов венозной и артериальной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Цитологические исследования крови и костного мозга (миелограмма, кольцевые сидеробласты);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Исследований на вирусные антигены, включая вирусы гепатитов В и С, цитомегаловирус, Эпштейн-Барр;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Патоморфологические исследования биоптатов лимфоузлов, селезенки, костного мозга и иммуногистохимических исследований, в том числе с получением второго мнения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Иммунофенотипирование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Цитогенетические исследования, включая FISH периферической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Молекулярно-генетические исследования методом ПЦР, включая HLA типирование;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Инструментальные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эндоскопических исследования бронхов, желудка,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компьютерной томографии,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рентгендиагностики;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магнитно-резонансной томографии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методов функциональной диагностики, включая электрокардиограмму;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консультаций специалистов по кардиологии, эндокринологии, пульмонологии, гастроэнтерологии, инфекционным болезням, неврологии, офтальмологии, фтизиатрии, стоматологии и челюстно-лицевой хирургии, сосудистой хирургии, торакальной хирургии, травматологии-ортопедии, абдоминальной и общей хирургии, проктологии, урологии, гинекологии, акушерству, трансфузиологии, дерматологии, оториноларингологии,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возможности направления и организации позитронно-эмиссионной томографии;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возможности направления и организации лучевой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договоров на логистику биоматериалов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группа (исследования, необходимые для установления диагноза)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Исследования общего анализа крови и ручного подсчета форменных элементов;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Исследования общего анализа мочи;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концентрации циклоспорина и метотрексата в крови (методом иммунно-ферментного анализа или иммунохемлюминисценции);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Исследование газов и электролитов венозной и артериальной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Исследование агрегационных методов (агрегация тромбоцитов);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Цитологические исследований крови и костного мозга (миелограмма, кольцевые сидеробласты);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Исследования на вирусные антигены, включая вирусы гепатитов В и С, цитомегаловирус, Эпштейн-Барр;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Иммунофенотипирование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Цитогенетические исследования, включая FISH периферической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Молекулярноөгенетичесие исследованийя методом ПЦР, включая HLA типирование;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Инструментальные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эндоскопических исследования бронхов, желудка,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компьютерной томографии,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рентгендиагностики;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магнитно-резонансной томографии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методов функциональной диагностики, включая электрокардиограмму;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консультаций специалистов по кардиологии, эндокринологии, пульмонологии, гастроэнтерологии, инфекционным болезням, неврологии, офтальмологии, фтизиатрии, стоматологии и челюстно-лицевой хирургии, сосудистой хирургии, торакальной хирургии, травматологии-ортопедии, абдоминальной и общей хирургии, проктологии, урологии, гинекологии, акушерству, трансфузиологии, дерматологии, оториноларингологии,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возможности направления и организации позитронно-эмиссионной томографии;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возможности направления и организации лучевой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договоров на логистику биоматериалов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группа (исследования, необходимые для установления диагноза)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1)1. Исследования общего анализа крови и ручного подсчета форменных элементов;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2)2. Исследования общего анализа мочи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3)3.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Иммунологические исследования включая иммунохимические анализы методом иммунофиксации белков крови и мочи;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Исследования газов и электролитов венозной и артериальной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Цитологические исследования крови и костного мозга (миелограмма, кольцевые сидеробласты);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Исследований на вирусные антигены, включая вирусы гепатитов В и С, цитомегаловирус, Эпштейн-Барр;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Иммунофенотипирование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Цитогенетические исследования, включая FISH периферической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Молекулярно - генетические исследования методом ПЦР, включая HLA типирование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Инструментальные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эндоскопических исследования бронхов, желудка,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компьютерной томографии,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рентгендиагностики;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магнитно-резонансной томографии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методов функциональной диагностики, включая электрокардиограмму;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консультаций специалистов по кардиологии, эндокринологии, пульмонологии, гастроэнтерологии, инфекционным болезням, неврологии, офтальмологии, фтизиатрии, стоматологии и челюстно-лицевой хирургии, сосудистой хирургии, торакальной хирургии, травматологии-ортопедии, абдоминальной и общей хирургии, проктологии, урологии, гинекологии, акушерству, трансфузиологии, дерматологии, оториноларингологии,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возможности направления и организации позитронно-эмиссионной томографии;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возможности направления и организации лучевой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договоров на логистику биоматериалов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Инвазивный забор костного мозга (пункция и трепанобиопсия костного мозга)</w:t>
            </w:r>
          </w:p>
          <w:bookmarkEnd w:id="9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при условии: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Наличия одноразовых игл для пункции и биопсии костного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Наличия возможности оказать экстренную рениматологическую помощь и перевод больного в круглосуточный стационар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возможности проведения исследования коагулограммы до проведения инвазивного забора костного мозга.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  <w:bookmarkEnd w:id="9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Лечение вторичных цитопений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Лечение вторичных цитопений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химио-иммунно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Таргетная терапия только по согласованию с центрами компетенции 3 и 4 уровней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Лечение вторичных цитопений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химио-иммунно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Таргетная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Аутологичная трансплантация гемопоэтических стволовых клеток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Лечение вторичных цитопений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химио-иммунно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Таргетная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Аутологичная трансплантация гемопоэтических стволовых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Трансплантация мезенхимальных стволовых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Клеточная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Все виды трансплантации гемопоэтичсеких стволовых клеток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острых лейкозов в режиме индукции и консолидации</w:t>
            </w:r>
          </w:p>
          <w:bookmarkEnd w:id="9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одновременном исполнении следующих условий: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возможности проведения всех методов диагностики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штата специалистов согласно настоящего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выделенного штата реаниматологов, палаты интенсивной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100% возможности размещения пациента в одноместной палате на весь период индукции и консолидации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возможности проведения в палате гемодиализа и гемодиафильтрации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Наличие возможности круглосуточного микробиологического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запаса химиопрепаратов и антибактериальных препаратов согласно КП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Амбулаторное лечение</w:t>
            </w:r>
          </w:p>
          <w:bookmarkEnd w:id="9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одновременном исполнении следующих условий: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отдела госпитальной фармации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возможности хранения лекарственных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возможности индивидуальной расфасовки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учета и контроля амбулаторной лекарственной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возможности заключение договоров ответ хранения с медицинскими организациями, где прикреплен пациент в отдаленных регионах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возможности дистанционного мониторинга приема препаратов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Динамическое наблюдение</w:t>
            </w:r>
          </w:p>
          <w:bookmarkEnd w:id="9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одновременном исполнении условий: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сотрудников (врачи и медицинские сестры) на амбулаторном приеме согласно настоящего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возможности проведения всего перечня диагностических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</w:tr>
    </w:tbl>
    <w:bookmarkStart w:name="z2205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 Распределение химиопрепаратов по группам затратности</w:t>
      </w:r>
      <w:r>
        <w:br/>
      </w:r>
      <w:r>
        <w:rPr>
          <w:rFonts w:ascii="Times New Roman"/>
          <w:b/>
          <w:i w:val="false"/>
          <w:color w:val="000000"/>
        </w:rPr>
        <w:t>(обязательное назначение высокозатратных препаратов через консилиум)</w:t>
      </w:r>
    </w:p>
    <w:bookmarkEnd w:id="9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группа</w:t>
            </w:r>
          </w:p>
          <w:bookmarkEnd w:id="96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Высокзатратный препарат</w:t>
            </w:r>
          </w:p>
          <w:bookmarkEnd w:id="9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Среднезатратный препарат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Низкозатратный препарат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Даратумумаб</w:t>
            </w:r>
          </w:p>
          <w:bookmarkEnd w:id="9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Брентуксимаб ведотин</w:t>
            </w:r>
          </w:p>
          <w:bookmarkEnd w:id="9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Акалабрутиниб</w:t>
            </w:r>
          </w:p>
          <w:bookmarkEnd w:id="9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Помалидомид</w:t>
            </w:r>
          </w:p>
          <w:bookmarkEnd w:id="9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Иксазомиб</w:t>
            </w:r>
          </w:p>
          <w:bookmarkEnd w:id="9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Пембролизумаб</w:t>
            </w:r>
          </w:p>
          <w:bookmarkEnd w:id="9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Ниволумаб</w:t>
            </w:r>
          </w:p>
          <w:bookmarkEnd w:id="9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Ибрутиниб</w:t>
            </w:r>
          </w:p>
          <w:bookmarkEnd w:id="9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Венетоклакс</w:t>
            </w:r>
          </w:p>
          <w:bookmarkEnd w:id="9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Полатузузумаб</w:t>
            </w:r>
          </w:p>
          <w:bookmarkEnd w:id="9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L-аспаргиназа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(IFN-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группа</w:t>
            </w:r>
          </w:p>
          <w:bookmarkEnd w:id="97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Блинотумумаб</w:t>
            </w:r>
          </w:p>
          <w:bookmarkEnd w:id="9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Ритуксимаб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Понотиниб </w:t>
            </w:r>
          </w:p>
          <w:bookmarkEnd w:id="9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Даунорубицин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Венетоклакс</w:t>
            </w:r>
          </w:p>
          <w:bookmarkEnd w:id="9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Децитабин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Мидостаурин </w:t>
            </w:r>
          </w:p>
          <w:bookmarkEnd w:id="9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Винкристин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Экулизумаб</w:t>
            </w:r>
          </w:p>
          <w:bookmarkEnd w:id="9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Цитарабин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Идарубицин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Аспарагиназа, 10000 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Меркаптопурин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Аспарагиназа, 5000 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группа</w:t>
            </w:r>
          </w:p>
          <w:bookmarkEnd w:id="97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Понатиниб</w:t>
            </w:r>
          </w:p>
          <w:bookmarkEnd w:id="9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Децитабин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Азацитидин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меркаптопурин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Дазатиниб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Руксолитиниб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0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Таргетные препараты, для реализации в МИС</w:t>
      </w:r>
    </w:p>
    <w:bookmarkEnd w:id="9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 (Амбулаторный перечень)</w:t>
            </w:r>
          </w:p>
          <w:bookmarkEnd w:id="982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9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Локализация, показания в инструкции по применению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Привязки по коду МКБ-10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в протоколы диагностики и лечения ЗН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мишеней при проведении молекулярно-генетической и молекулярно-биологической диагностики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отражать маркер во вкладке ИГХ/ПЦР в ИС ЭРСБ для назначения препарата для ФЛК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миелолейкоз;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лимфобластный лейкоз с положительной филадельфийской хромосомой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С92.1-С92.2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C91.0, C91.7, C91.9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C94.8, D72.1, D47.5, 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C96.2, D47.0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(подкожный)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Лимфомы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Аутоиммунная гемолитическая анемия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С81 -С89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D59.1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Гиперэкспрессия CD20+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Спрайсел; Дазатиниб-натив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миелолейкоз;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лимфобластный лейкоз с положительной филадельфийской хромосомой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С92.1-С92.2;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C91.7, C91.9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C94.8, D72.1, D47.5, 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C96.2, D47.0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Миелодиспластические синдромы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Лимфопролиферативные заболевания, Множественная миелома и злокачественные плазмоклеточные ново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С82-С90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С82-С90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Лимфопролиферативные заболевания, Множественная миелома и злокачественные плазмоклеточные ново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С82-С90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С82-С90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лимфолейкоз, лимфомы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лимфолейкоз, лимфомы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0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лимфобластный лейкоз BCR-ABL+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96.2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47.0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0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 (подкожный)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 и злокачественные плазмоклеточные ново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0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5q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(первичная) тромбоцитопеническая пурпура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Вторичная тромбоцитопеническая пурпура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Апластическая анемия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D61.1-D61.9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 список</w:t>
            </w:r>
          </w:p>
          <w:bookmarkEnd w:id="1010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10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Локализация, показания в инструкции по применению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Привязки по коду МКБ-10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в протоколы диагностики и лечения ЗН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мишеней при проведении молекулярно-генетической и молекулярно-биологической диагностики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отражать маркер во вкладке ИГХ/ПЦР в ИС ЭРСБ для назначения препарата для ФЛК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(в\венный)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Лимфомы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Идиопатическая тромбоцитопеническая пурпура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гемолитическая анемия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С81-С89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СD-20 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С90.0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или рефрактерная форма CD30-положительной лимфомы Ходжкина: после трансплантации аутологичных стволовых клеток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С81.0-С81.9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CD30+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Спрайсел; Дазатиниб-натив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миелолейкоз;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лимфобластный лейкоз с положительной филадельфийской хромосомой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С92.1-С92.2;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C91.7, C91.9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C94.8, D72.1, D47.5, 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C96.2, D47.0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Ходжкина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С81-С89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мутация PML RARA или транслокация t(15;17)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0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Антитимоцитарный антилимфоцитарный иммуноглобулин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D61.1-D61.9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Миелодиспластические синдромы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D46-47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D61.1-D61.9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ПНГ клон при ИФТ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0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выявленный положительный по FLT3-мутации острый миелоидный лейкоз у взрослых в сочетании со стандартной индукционной и консолидирующей химиотерапией с последующей поддерживающей монотерапией.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FLT3-мутации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0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Блинотумомаб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Блинцито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Рефрактерно-рецидивирующие формы ОЛЛ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С91.3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0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формы ОМЛ у пожилых пациентов не кандидатов на интенсивное лечение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72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*Препараты, выдающиеся по АЛО могут закупаться МО для стартовой терапии</w:t>
      </w:r>
    </w:p>
    <w:bookmarkEnd w:id="10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30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качества гематологической помощи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качества</w:t>
            </w:r>
          </w:p>
          <w:bookmarkEnd w:id="10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оценивать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применения индикатора (чья деятельность оценивается)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при наследственных коагулопатиях, связанная с геморрагическим синдромом</w:t>
            </w:r>
          </w:p>
          <w:bookmarkEnd w:id="10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калькулируется сумма пролеченных случаев за период с летальным исходом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 –отрицательный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случаи летальных исходов при наследственных каогулопатиях должны подвергаться 100% специальной экспертизы с привлечением гематологов.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пациентов, госпитализированных в отделения гематологического профиля с наследственными дефицитами факторов свертывания крови VIII и IX, которым в стационаре не определен уровень фактора свертывания и ингибитора к нему</w:t>
            </w:r>
          </w:p>
          <w:bookmarkEnd w:id="10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госпитализированных в отделения гематологического профиля с кодами D 66 и D 67 взрослых пациентов, которым не определен уровень фактора в крови во время госпитализации разделить на количество госпитализированных в отделения хирургического и гематологического профилей с кодами D 66 и D 67 взрослых пациентов всего,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 –отрицательный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Показаниями к госпитализации пациентов с наследственными дефицитами факторов свертывания крови являются острые кровотечения или ингибиторная форма. В этом случае определение уровня факторов свертывания крови важно для расчета дозы препаратов. Свидетельства о наличии подобных фактов должны подвергаться экспертизе и влиять на рейтинг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пациентов с наследственными дефицитами факторов свертывания крови VIII и IX, получающих на амбулаторном уровне факторы свертывания крови, которым не определен уровень фактора свертывания и ингибитора к нему с периодичностью 1 раз в год</w:t>
            </w:r>
          </w:p>
          <w:bookmarkEnd w:id="10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взрослых пациентов с кодами D 66 и D 67, получающих на амбулаторном уровне факторы свертывания крови, которым не определен уровень фактора свертывания и ингибитора к нему с периодичностью 1 раз в год / количество взрослых пациентов с кодами D 66 и D 67, получающих на амбулаторном уровне факторы свертывания крови,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 –отрицательный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Свидетельствует о дефекте диспансеризации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впервые выявленных пациентов с неходжкинской лимфомой, которым не проведено исследование иммуногистохимии</w:t>
            </w:r>
          </w:p>
          <w:bookmarkEnd w:id="10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взрослых пациентов с неходжкинской лимфомой, которым не проведено исследование иммуногистохимии /количество пациентов, впервые выявленных пациентов с неходжкинской лимфомой,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впервые выявленных пациентов с хроническим лимфолейкозом, которым не проведено исследование (иммунофенотипирования или иммуногистохимии) </w:t>
            </w:r>
          </w:p>
          <w:bookmarkEnd w:id="10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хроническим лимфолейкозом, которым не проведено исследование (иммунофенотипирования или иммуногистохимии) /количество пациентов, впервые выявленных пациентов с хроническим лимфолейкозом,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впервые выявленных пациентов с острым лимфобластным лейкозом, которым не проведено исследование миелограммы и иммунофенотипирования </w:t>
            </w:r>
          </w:p>
          <w:bookmarkEnd w:id="10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острым лимфобластным лейкозом, которым не проведено исследование миелограммы и иммунофенотипирования /количество пациентов, впервые выявленных пациентов с острым лимфобластным 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впервые выявленных пациентов с острым В лимфобластным лейкозом, которым не проведено исследование миелограммы и иммунофенотипирования и цитогенетики (или ФИШ или ПЦР)</w:t>
            </w:r>
          </w:p>
          <w:bookmarkEnd w:id="10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острым В лимфобластным лейкозом, которым не проведено исследование миелограммы и иммунофенотипирования и цитогенетики (или ФИШ или ПЦР)/ количество впервые выявленных пациентов с острым В лимфобластным 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впервые выявленных пациентов с острым миелобластным лейкозом, которым не проведено исследование миелограммы, иммунофенотипирования и цитогенетики (или ФИШ или ПЦР)</w:t>
            </w:r>
          </w:p>
          <w:bookmarkEnd w:id="10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острым миелобластным лейкозом, которым не проведено исследование миелограммы, иммунофенотипирования и цитогенетики (или ФИШ или ПЦР)/ впервые выявленных пациентов с острым миелобластным 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впервые выявленных пациентов с апластической анемией, которым не проведено гистологическое исследование трепанобиоптата костного мозга и иммунофенотипирование на клон ПНГ</w:t>
            </w:r>
          </w:p>
          <w:bookmarkEnd w:id="10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апластической анемией, которым не проведено гистологическое исследование трепанобиоптата костного мозга и иммунофенотипирование на клон ПНГ /количество впервые выявленных пациентов с апластической анемией,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впервые выявленных пациентов с хроническим миелолейкозом, которым не проведено цитогенетическое исследование (или ФИШ, или ПЦР)</w:t>
            </w:r>
          </w:p>
          <w:bookmarkEnd w:id="10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хроническим миелолейкозом, которым не проведено цитогенетическое исследование (или ФИШ, или ПЦР)/количество пациентов, впервые выявленных пациентов с хроническим миелолейкозом,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пациентов с хроническим миелолейкозом, которым проведена смена химиотерапии и не проведено цитогенетическое исследование (или ФИШ, или ПЦР)</w:t>
            </w:r>
          </w:p>
          <w:bookmarkEnd w:id="10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взрослых пациентов с хроническим миелолейкозом, которым проведена смена терапии без определения цитогенетического исследования (или ФИШ, или ПЦР)/количество пациентов с хроническим миелолейкозом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пациентов с впервые установленным диагнозом миелодиспластического синдрома, которым не проведено гистологическое исследование трепанобиоптата костного мозга, стандартной цитогенетики (или ФИШ)</w:t>
            </w:r>
          </w:p>
          <w:bookmarkEnd w:id="10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пациентов с впервые установленным диагнозом миелодиспластического синдрома, которым не проведено гистологическое исследование трепанобиоптата костного мозга, цитогенетики (или ФИШ или ПЦР)/количество пациентов, с впервые установленным диагнозом миелодиспластического синдрома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постановки на дсипансерный учет в центр компетенции с заболеваниями крови </w:t>
            </w:r>
          </w:p>
          <w:bookmarkEnd w:id="10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от момента постановки на учет после даты установления диагноза (или системы оповещения в информационной системе)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 дней –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Свидетельствует о дефекте постановки на диспансерной учет организациями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</w:t>
            </w:r>
          </w:p>
          <w:bookmarkEnd w:id="10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 выявленных с ЗНО системы крови*100000/численность населения в регионе в отчетном году; исчисляется в промилле (0/0000);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оценке в динамике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заболеваемости свидетельствует об улучшении качества диагностики и учета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</w:p>
          <w:bookmarkEnd w:id="10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со ЗНО системы крови*100000/численность населения в регионе в отчетном году; исчисляется в промилле (0/0000);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оценке в динамике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смертности должно анализироваться только экспертом. Это не всегла говорит о низком качестве, иногда связано с увеличением выявляемости или "вычищению" списков, состоящих на учете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Болезненность (распространенность</w:t>
            </w:r>
          </w:p>
          <w:bookmarkEnd w:id="10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всех пациентов с ЗНО системы крови*100000/численность населения в регионе в отчетном году; исчисляется в промилле (0/0000);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оценке в динамике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говорит о увеличении выявляемости и удлинении жизни пациентов.</w:t>
            </w:r>
          </w:p>
        </w:tc>
      </w:tr>
    </w:tbl>
    <w:bookmarkStart w:name="z283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Пятилетняя выживаемость должна оцениваться после введения регистра пациентов для подсчета событий, исчисляется при помощи статистических программ. Данные индикаторы анализируются центром компетенции ежемесячно и два раза в год передаются республиканскому центру. Индикаторы для организаций по уровням регионализации собираются два раза в год и передаются республиканскому центру.</w:t>
      </w:r>
    </w:p>
    <w:bookmarkEnd w:id="10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