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f6b4" w14:textId="6e9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7 сентября 2020 года № 62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декабря 2021 года № 103. Зарегистрирован в Министерстве юстиции Республики Казахстан 9 декабря 2021 года № 25687. Утратил силу приказом Министра национальной экономики Республики Казахстан от 1 июня 2022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01.06.2022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7 сентября 2020 года № 62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(зарегистрирован в Реестре государственной регистрации нормативных правовых актов Республики Казахстан за № 21187)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4"/>
    <w:bookmarkStart w:name="z10" w:id="5"/>
    <w:p>
      <w:pPr>
        <w:spacing w:after="0"/>
        <w:ind w:left="0"/>
        <w:jc w:val="both"/>
      </w:pPr>
      <w:r>
        <w:rPr>
          <w:rFonts w:ascii="Times New Roman"/>
          <w:b w:val="false"/>
          <w:i w:val="false"/>
          <w:color w:val="000000"/>
          <w:sz w:val="28"/>
        </w:rPr>
        <w:t>
      2) банк – банк второго уровня, участвующий в Программе, включая акционерное общество "Банк Развития Казахстана" и (или) банк второго уровня, участвующий в Механизме;</w:t>
      </w:r>
    </w:p>
    <w:bookmarkEnd w:id="5"/>
    <w:bookmarkStart w:name="z11" w:id="6"/>
    <w:p>
      <w:pPr>
        <w:spacing w:after="0"/>
        <w:ind w:left="0"/>
        <w:jc w:val="both"/>
      </w:pPr>
      <w:r>
        <w:rPr>
          <w:rFonts w:ascii="Times New Roman"/>
          <w:b w:val="false"/>
          <w:i w:val="false"/>
          <w:color w:val="000000"/>
          <w:sz w:val="28"/>
        </w:rPr>
        <w:t>
      3) банковский кредит (далее – кредит) – сумма денег, предоставляемая банком предпринимателю на основании договора о предоставлении банковского займа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6"/>
    <w:bookmarkStart w:name="z12" w:id="7"/>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7"/>
    <w:bookmarkStart w:name="z13" w:id="8"/>
    <w:p>
      <w:pPr>
        <w:spacing w:after="0"/>
        <w:ind w:left="0"/>
        <w:jc w:val="both"/>
      </w:pPr>
      <w:r>
        <w:rPr>
          <w:rFonts w:ascii="Times New Roman"/>
          <w:b w:val="false"/>
          <w:i w:val="false"/>
          <w:color w:val="000000"/>
          <w:sz w:val="28"/>
        </w:rPr>
        <w:t>
      4) договор о предоставлении банковского займа/микрокредита (далее – договор займа) – письменное соглашение, заключенное между банком/МФО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bookmarkEnd w:id="8"/>
    <w:bookmarkStart w:name="z14" w:id="9"/>
    <w:p>
      <w:pPr>
        <w:spacing w:after="0"/>
        <w:ind w:left="0"/>
        <w:jc w:val="both"/>
      </w:pPr>
      <w:r>
        <w:rPr>
          <w:rFonts w:ascii="Times New Roman"/>
          <w:b w:val="false"/>
          <w:i w:val="false"/>
          <w:color w:val="000000"/>
          <w:sz w:val="28"/>
        </w:rPr>
        <w:t>
      Для исламского банка договор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9"/>
    <w:bookmarkStart w:name="z15" w:id="10"/>
    <w:p>
      <w:pPr>
        <w:spacing w:after="0"/>
        <w:ind w:left="0"/>
        <w:jc w:val="both"/>
      </w:pPr>
      <w:r>
        <w:rPr>
          <w:rFonts w:ascii="Times New Roman"/>
          <w:b w:val="false"/>
          <w:i w:val="false"/>
          <w:color w:val="000000"/>
          <w:sz w:val="28"/>
        </w:rPr>
        <w:t>
      5) грант – государственные средства, выделяемые грантополучателю на безвозмездной основе в соответствии с договором о предоставлении грантов для реализации новых бизнес-идей согласно условиям Программы;</w:t>
      </w:r>
    </w:p>
    <w:bookmarkEnd w:id="10"/>
    <w:bookmarkStart w:name="z16" w:id="11"/>
    <w:p>
      <w:pPr>
        <w:spacing w:after="0"/>
        <w:ind w:left="0"/>
        <w:jc w:val="both"/>
      </w:pPr>
      <w:r>
        <w:rPr>
          <w:rFonts w:ascii="Times New Roman"/>
          <w:b w:val="false"/>
          <w:i w:val="false"/>
          <w:color w:val="000000"/>
          <w:sz w:val="28"/>
        </w:rPr>
        <w:t>
      6) грантополучатель – субъект малого предпринимательства, которому согласно решению конкурсной комиссии предоставляется грант для реализации новой бизнес-идеи;</w:t>
      </w:r>
    </w:p>
    <w:bookmarkEnd w:id="11"/>
    <w:bookmarkStart w:name="z17" w:id="12"/>
    <w:p>
      <w:pPr>
        <w:spacing w:after="0"/>
        <w:ind w:left="0"/>
        <w:jc w:val="both"/>
      </w:pPr>
      <w:r>
        <w:rPr>
          <w:rFonts w:ascii="Times New Roman"/>
          <w:b w:val="false"/>
          <w:i w:val="false"/>
          <w:color w:val="000000"/>
          <w:sz w:val="28"/>
        </w:rPr>
        <w:t xml:space="preserve">
      7) договор о предоставлении гранта – трехстороннее письменное соглашение, определяемое согласно Правилам предоставления государственных грантов для реализации новых бизнес-идей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bookmarkEnd w:id="12"/>
    <w:bookmarkStart w:name="z18" w:id="13"/>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3"/>
    <w:bookmarkStart w:name="z19" w:id="14"/>
    <w:p>
      <w:pPr>
        <w:spacing w:after="0"/>
        <w:ind w:left="0"/>
        <w:jc w:val="both"/>
      </w:pPr>
      <w:r>
        <w:rPr>
          <w:rFonts w:ascii="Times New Roman"/>
          <w:b w:val="false"/>
          <w:i w:val="false"/>
          <w:color w:val="000000"/>
          <w:sz w:val="28"/>
        </w:rPr>
        <w:t>
      9)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банка/лизинговой компании/МФО или грантополучателем/эмитентом путем проверки фактической реализации проекта в соответствии с условиями Программы/Механизма, в том числе путем выезда на место реализации проекта;</w:t>
      </w:r>
    </w:p>
    <w:bookmarkEnd w:id="14"/>
    <w:bookmarkStart w:name="z20" w:id="15"/>
    <w:p>
      <w:pPr>
        <w:spacing w:after="0"/>
        <w:ind w:left="0"/>
        <w:jc w:val="both"/>
      </w:pPr>
      <w:r>
        <w:rPr>
          <w:rFonts w:ascii="Times New Roman"/>
          <w:b w:val="false"/>
          <w:i w:val="false"/>
          <w:color w:val="000000"/>
          <w:sz w:val="28"/>
        </w:rPr>
        <w:t>
      10) гарантия – обязательство финансового агентства перед банком/МФО отвечать за исполнение обязательств предпринимателя по уплате части основного долга по договору займа, вытекающего из договора гарантии, в пределах суммы гарантии;</w:t>
      </w:r>
    </w:p>
    <w:bookmarkEnd w:id="15"/>
    <w:bookmarkStart w:name="z21" w:id="16"/>
    <w:p>
      <w:pPr>
        <w:spacing w:after="0"/>
        <w:ind w:left="0"/>
        <w:jc w:val="both"/>
      </w:pPr>
      <w:r>
        <w:rPr>
          <w:rFonts w:ascii="Times New Roman"/>
          <w:b w:val="false"/>
          <w:i w:val="false"/>
          <w:color w:val="000000"/>
          <w:sz w:val="28"/>
        </w:rPr>
        <w:t xml:space="preserve">
      11)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Программой/Механизмом, Правилами гарантирования по кредитам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гарантирования) и договором гарантии;</w:t>
      </w:r>
    </w:p>
    <w:bookmarkEnd w:id="16"/>
    <w:bookmarkStart w:name="z22" w:id="17"/>
    <w:p>
      <w:pPr>
        <w:spacing w:after="0"/>
        <w:ind w:left="0"/>
        <w:jc w:val="both"/>
      </w:pPr>
      <w:r>
        <w:rPr>
          <w:rFonts w:ascii="Times New Roman"/>
          <w:b w:val="false"/>
          <w:i w:val="false"/>
          <w:color w:val="000000"/>
          <w:sz w:val="28"/>
        </w:rPr>
        <w:t>
      12) договор гарантии – трехстороннее письменное соглашение, определяемое согласно Правилам гарантирования;</w:t>
      </w:r>
    </w:p>
    <w:bookmarkEnd w:id="17"/>
    <w:bookmarkStart w:name="z23" w:id="18"/>
    <w:p>
      <w:pPr>
        <w:spacing w:after="0"/>
        <w:ind w:left="0"/>
        <w:jc w:val="both"/>
      </w:pPr>
      <w:r>
        <w:rPr>
          <w:rFonts w:ascii="Times New Roman"/>
          <w:b w:val="false"/>
          <w:i w:val="false"/>
          <w:color w:val="000000"/>
          <w:sz w:val="28"/>
        </w:rPr>
        <w:t>
      13) предприниматель – субъект малого и (или) среднего предпринимательства, отдельные субъекты предпринимательства, осуществляющие свою деятельность в рамках Программы, и субъекты частного предпринимательства, осуществляющие свою деятельность в рамках Механизма, юридические лица, зарегистрированные на территории Международного финансового центра "Астана", а также юридические лица, реализующие проекты на территории Республики Казахстан за счет средств фондов прямых инвестиций;</w:t>
      </w:r>
    </w:p>
    <w:bookmarkEnd w:id="18"/>
    <w:bookmarkStart w:name="z24" w:id="19"/>
    <w:p>
      <w:pPr>
        <w:spacing w:after="0"/>
        <w:ind w:left="0"/>
        <w:jc w:val="both"/>
      </w:pPr>
      <w:r>
        <w:rPr>
          <w:rFonts w:ascii="Times New Roman"/>
          <w:b w:val="false"/>
          <w:i w:val="false"/>
          <w:color w:val="000000"/>
          <w:sz w:val="28"/>
        </w:rPr>
        <w:t>
      14) конкурсная комиссия – коллегиально-совещательный орган с участием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10 (десять) человек (председателем конкурсной комиссии не может быть представитель местных исполнительных органов);</w:t>
      </w:r>
    </w:p>
    <w:bookmarkEnd w:id="19"/>
    <w:bookmarkStart w:name="z25" w:id="20"/>
    <w:p>
      <w:pPr>
        <w:spacing w:after="0"/>
        <w:ind w:left="0"/>
        <w:jc w:val="both"/>
      </w:pPr>
      <w:r>
        <w:rPr>
          <w:rFonts w:ascii="Times New Roman"/>
          <w:b w:val="false"/>
          <w:i w:val="false"/>
          <w:color w:val="000000"/>
          <w:sz w:val="28"/>
        </w:rPr>
        <w:t>
      15) целевое использование кредита/гранта/лизинга/средств, от размещенных облигаций – использование предпринимателем/ грантополучателем/эмитентом кредита/гранта/лизинга/средств, от размещенных облигаций, полученного (-ых) по договору займа/договору о предоставлении гранта/договору финансового лизинга/проспекту выпуска облигаций, на цели, установленные договором займа/договором о предоставлении гранта/договором финансового лизинга/ проспектом выпуска облигаций и решением финансового агентства/конкурсной комиссии, соответствующие условиям Программы/Механизма.</w:t>
      </w:r>
    </w:p>
    <w:bookmarkEnd w:id="20"/>
    <w:bookmarkStart w:name="z26" w:id="21"/>
    <w:p>
      <w:pPr>
        <w:spacing w:after="0"/>
        <w:ind w:left="0"/>
        <w:jc w:val="both"/>
      </w:pPr>
      <w:r>
        <w:rPr>
          <w:rFonts w:ascii="Times New Roman"/>
          <w:b w:val="false"/>
          <w:i w:val="false"/>
          <w:color w:val="000000"/>
          <w:sz w:val="28"/>
        </w:rPr>
        <w:t>
      Целевое использование подтверждается соответствующими документами, которые в совокупности подтверждают оплату, получение и использование (в рамках деятельности не противоречащей условиям Программы/Механизму) предпринимателем/грантополучателем/эмитентом в полном объеме актива/работ/услуг и (или) достижение других целей, в соответствии с условиями Программы/Механизма, за исключением проектов гарантирования, по которым подтверждением целевого использования будет являться подтверждение оплаты предпринимателем в полном объеме сделки по приобретению актива/работ/услуг и (или) достижению других целей, в соответствии с условиями Программы/Механизма;</w:t>
      </w:r>
    </w:p>
    <w:bookmarkEnd w:id="21"/>
    <w:bookmarkStart w:name="z27" w:id="22"/>
    <w:p>
      <w:pPr>
        <w:spacing w:after="0"/>
        <w:ind w:left="0"/>
        <w:jc w:val="both"/>
      </w:pPr>
      <w:r>
        <w:rPr>
          <w:rFonts w:ascii="Times New Roman"/>
          <w:b w:val="false"/>
          <w:i w:val="false"/>
          <w:color w:val="000000"/>
          <w:sz w:val="28"/>
        </w:rPr>
        <w:t>
      16)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 участвующая в Программе /банк предоставляет предпринимателю финансовый лизинг.</w:t>
      </w:r>
    </w:p>
    <w:bookmarkEnd w:id="22"/>
    <w:bookmarkStart w:name="z28" w:id="23"/>
    <w:p>
      <w:pPr>
        <w:spacing w:after="0"/>
        <w:ind w:left="0"/>
        <w:jc w:val="both"/>
      </w:pPr>
      <w:r>
        <w:rPr>
          <w:rFonts w:ascii="Times New Roman"/>
          <w:b w:val="false"/>
          <w:i w:val="false"/>
          <w:color w:val="000000"/>
          <w:sz w:val="28"/>
        </w:rPr>
        <w:t>
      Для исламской лизинговой компании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23"/>
    <w:bookmarkStart w:name="z29" w:id="24"/>
    <w:p>
      <w:pPr>
        <w:spacing w:after="0"/>
        <w:ind w:left="0"/>
        <w:jc w:val="both"/>
      </w:pPr>
      <w:r>
        <w:rPr>
          <w:rFonts w:ascii="Times New Roman"/>
          <w:b w:val="false"/>
          <w:i w:val="false"/>
          <w:color w:val="000000"/>
          <w:sz w:val="28"/>
        </w:rPr>
        <w:t xml:space="preserve">
      17) лизинговая компания (в том числе исламская лизинговая компания) – юридическое лицо, не являющееся банком, осуществляющее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 и участвующее в Программе;</w:t>
      </w:r>
    </w:p>
    <w:bookmarkEnd w:id="24"/>
    <w:bookmarkStart w:name="z30" w:id="25"/>
    <w:p>
      <w:pPr>
        <w:spacing w:after="0"/>
        <w:ind w:left="0"/>
        <w:jc w:val="both"/>
      </w:pPr>
      <w:r>
        <w:rPr>
          <w:rFonts w:ascii="Times New Roman"/>
          <w:b w:val="false"/>
          <w:i w:val="false"/>
          <w:color w:val="000000"/>
          <w:sz w:val="28"/>
        </w:rPr>
        <w:t>
      18)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25"/>
    <w:bookmarkStart w:name="z31" w:id="26"/>
    <w:p>
      <w:pPr>
        <w:spacing w:after="0"/>
        <w:ind w:left="0"/>
        <w:jc w:val="both"/>
      </w:pPr>
      <w:r>
        <w:rPr>
          <w:rFonts w:ascii="Times New Roman"/>
          <w:b w:val="false"/>
          <w:i w:val="false"/>
          <w:color w:val="000000"/>
          <w:sz w:val="28"/>
        </w:rPr>
        <w:t xml:space="preserve">
      19) микрокредит (далее – 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на условиях платности, срочности и возвратности;</w:t>
      </w:r>
    </w:p>
    <w:bookmarkEnd w:id="26"/>
    <w:bookmarkStart w:name="z32" w:id="27"/>
    <w:p>
      <w:pPr>
        <w:spacing w:after="0"/>
        <w:ind w:left="0"/>
        <w:jc w:val="both"/>
      </w:pPr>
      <w:r>
        <w:rPr>
          <w:rFonts w:ascii="Times New Roman"/>
          <w:b w:val="false"/>
          <w:i w:val="false"/>
          <w:color w:val="000000"/>
          <w:sz w:val="28"/>
        </w:rPr>
        <w:t>
      20)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27"/>
    <w:bookmarkStart w:name="z33" w:id="28"/>
    <w:p>
      <w:pPr>
        <w:spacing w:after="0"/>
        <w:ind w:left="0"/>
        <w:jc w:val="both"/>
      </w:pPr>
      <w:r>
        <w:rPr>
          <w:rFonts w:ascii="Times New Roman"/>
          <w:b w:val="false"/>
          <w:i w:val="false"/>
          <w:color w:val="000000"/>
          <w:sz w:val="28"/>
        </w:rPr>
        <w:t>
      21) мониторинговый отчет – отчет о мониторинге составленный финансовым агентством, подписанный банком/лизинговой компанией/МФО/региональным координатором Программы/грантополучателем/эмитентом по форме, установленной финансовым агентством;</w:t>
      </w:r>
    </w:p>
    <w:bookmarkEnd w:id="28"/>
    <w:bookmarkStart w:name="z34" w:id="29"/>
    <w:p>
      <w:pPr>
        <w:spacing w:after="0"/>
        <w:ind w:left="0"/>
        <w:jc w:val="both"/>
      </w:pPr>
      <w:r>
        <w:rPr>
          <w:rFonts w:ascii="Times New Roman"/>
          <w:b w:val="false"/>
          <w:i w:val="false"/>
          <w:color w:val="000000"/>
          <w:sz w:val="28"/>
        </w:rPr>
        <w:t>
      22)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9"/>
    <w:bookmarkStart w:name="z35" w:id="30"/>
    <w:p>
      <w:pPr>
        <w:spacing w:after="0"/>
        <w:ind w:left="0"/>
        <w:jc w:val="both"/>
      </w:pPr>
      <w:r>
        <w:rPr>
          <w:rFonts w:ascii="Times New Roman"/>
          <w:b w:val="false"/>
          <w:i w:val="false"/>
          <w:color w:val="000000"/>
          <w:sz w:val="28"/>
        </w:rPr>
        <w:t xml:space="preserve">
      23)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30"/>
    <w:bookmarkStart w:name="z36" w:id="31"/>
    <w:p>
      <w:pPr>
        <w:spacing w:after="0"/>
        <w:ind w:left="0"/>
        <w:jc w:val="both"/>
      </w:pPr>
      <w:r>
        <w:rPr>
          <w:rFonts w:ascii="Times New Roman"/>
          <w:b w:val="false"/>
          <w:i w:val="false"/>
          <w:color w:val="000000"/>
          <w:sz w:val="28"/>
        </w:rPr>
        <w:t xml:space="preserve">
      24) портфельное субсидирование части ставки вознаграждения/наценки/части арендного платежа – форма предоставления субсидий предпринимателям в рамках установленного финансовым агентством лимита для банка/МФО, на условиях определяемых Правилами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 предпринимательства в рамках Программы,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портфельного субсидирования и гарантирования);</w:t>
      </w:r>
    </w:p>
    <w:bookmarkEnd w:id="31"/>
    <w:bookmarkStart w:name="z37" w:id="32"/>
    <w:p>
      <w:pPr>
        <w:spacing w:after="0"/>
        <w:ind w:left="0"/>
        <w:jc w:val="both"/>
      </w:pPr>
      <w:r>
        <w:rPr>
          <w:rFonts w:ascii="Times New Roman"/>
          <w:b w:val="false"/>
          <w:i w:val="false"/>
          <w:color w:val="000000"/>
          <w:sz w:val="28"/>
        </w:rPr>
        <w:t>
      25) портфельное частичное гарантирование – форма предоставления гарантий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32"/>
    <w:bookmarkStart w:name="z38" w:id="33"/>
    <w:p>
      <w:pPr>
        <w:spacing w:after="0"/>
        <w:ind w:left="0"/>
        <w:jc w:val="both"/>
      </w:pPr>
      <w:r>
        <w:rPr>
          <w:rFonts w:ascii="Times New Roman"/>
          <w:b w:val="false"/>
          <w:i w:val="false"/>
          <w:color w:val="000000"/>
          <w:sz w:val="28"/>
        </w:rPr>
        <w:t>
      26) портфельное гарантирование – форма предоставления гарантий предпринимателям в рамках установленного финансовым агентством лимита для банка на условиях, определяемых Правилами гарантирования;</w:t>
      </w:r>
    </w:p>
    <w:bookmarkEnd w:id="33"/>
    <w:bookmarkStart w:name="z39" w:id="34"/>
    <w:p>
      <w:pPr>
        <w:spacing w:after="0"/>
        <w:ind w:left="0"/>
        <w:jc w:val="both"/>
      </w:pPr>
      <w:r>
        <w:rPr>
          <w:rFonts w:ascii="Times New Roman"/>
          <w:b w:val="false"/>
          <w:i w:val="false"/>
          <w:color w:val="000000"/>
          <w:sz w:val="28"/>
        </w:rPr>
        <w:t>
      27) субсидии – периодические выплаты на безвозмездной основе, выплачиваемые финансовым агентством банку/лизинговой компании/МФО/эмитенту в рамках субсидирования предпринимателей на основании договоров субсидирования;</w:t>
      </w:r>
    </w:p>
    <w:bookmarkEnd w:id="34"/>
    <w:bookmarkStart w:name="z40" w:id="35"/>
    <w:p>
      <w:pPr>
        <w:spacing w:after="0"/>
        <w:ind w:left="0"/>
        <w:jc w:val="both"/>
      </w:pPr>
      <w:r>
        <w:rPr>
          <w:rFonts w:ascii="Times New Roman"/>
          <w:b w:val="false"/>
          <w:i w:val="false"/>
          <w:color w:val="000000"/>
          <w:sz w:val="28"/>
        </w:rPr>
        <w:t>
      28)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предпринимателем/эмитентом банку/лизинговой компании/МФО/держателю облигации в качестве вознаграждения по кредитам/лизингу/выпущенным облигациям в обмен на выполнение в будущем определенных условий, относящихся к операционной деятельности предпринимателя/эмитента;</w:t>
      </w:r>
    </w:p>
    <w:bookmarkEnd w:id="35"/>
    <w:bookmarkStart w:name="z41" w:id="36"/>
    <w:p>
      <w:pPr>
        <w:spacing w:after="0"/>
        <w:ind w:left="0"/>
        <w:jc w:val="both"/>
      </w:pPr>
      <w:r>
        <w:rPr>
          <w:rFonts w:ascii="Times New Roman"/>
          <w:b w:val="false"/>
          <w:i w:val="false"/>
          <w:color w:val="000000"/>
          <w:sz w:val="28"/>
        </w:rPr>
        <w:t xml:space="preserve">
      29) договор субсидирования – трехстороннее письменное соглашение, определяемое согласно Правилам субсидирования части ставки вознаграждения в рамках Программы и (или) Правилам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Программы,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bookmarkEnd w:id="36"/>
    <w:bookmarkStart w:name="z42" w:id="37"/>
    <w:p>
      <w:pPr>
        <w:spacing w:after="0"/>
        <w:ind w:left="0"/>
        <w:jc w:val="both"/>
      </w:pPr>
      <w:r>
        <w:rPr>
          <w:rFonts w:ascii="Times New Roman"/>
          <w:b w:val="false"/>
          <w:i w:val="false"/>
          <w:color w:val="000000"/>
          <w:sz w:val="28"/>
        </w:rPr>
        <w:t>
      30) отчетный период – календарный отчетный период, который начинается 1 января и заканчивается 31 декабря;</w:t>
      </w:r>
    </w:p>
    <w:bookmarkEnd w:id="37"/>
    <w:bookmarkStart w:name="z43" w:id="38"/>
    <w:p>
      <w:pPr>
        <w:spacing w:after="0"/>
        <w:ind w:left="0"/>
        <w:jc w:val="both"/>
      </w:pPr>
      <w:r>
        <w:rPr>
          <w:rFonts w:ascii="Times New Roman"/>
          <w:b w:val="false"/>
          <w:i w:val="false"/>
          <w:color w:val="000000"/>
          <w:sz w:val="28"/>
        </w:rPr>
        <w:t>
      31) франчайзинг (комплексная предпринимательская лицензия)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38"/>
    <w:bookmarkStart w:name="z44" w:id="39"/>
    <w:p>
      <w:pPr>
        <w:spacing w:after="0"/>
        <w:ind w:left="0"/>
        <w:jc w:val="both"/>
      </w:pPr>
      <w:r>
        <w:rPr>
          <w:rFonts w:ascii="Times New Roman"/>
          <w:b w:val="false"/>
          <w:i w:val="false"/>
          <w:color w:val="000000"/>
          <w:sz w:val="28"/>
        </w:rPr>
        <w:t>
      32) эмитент – предприниматель, осуществляющий выпуск облигаций с субсидируемой ставкой купонного вознаграждения.";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6" w:id="40"/>
    <w:p>
      <w:pPr>
        <w:spacing w:after="0"/>
        <w:ind w:left="0"/>
        <w:jc w:val="both"/>
      </w:pPr>
      <w:r>
        <w:rPr>
          <w:rFonts w:ascii="Times New Roman"/>
          <w:b w:val="false"/>
          <w:i w:val="false"/>
          <w:color w:val="000000"/>
          <w:sz w:val="28"/>
        </w:rPr>
        <w:t>
      "10. Мониторинг проекта проводится без выезда на место реализации проекта по проектам гарантирования, в том числе портфельного частичного гарантирования/портфельного гарантирования, а также по кредитам предпринимателей, направленным на цели пополнения оборотных средств.</w:t>
      </w:r>
    </w:p>
    <w:bookmarkEnd w:id="40"/>
    <w:bookmarkStart w:name="z47" w:id="41"/>
    <w:p>
      <w:pPr>
        <w:spacing w:after="0"/>
        <w:ind w:left="0"/>
        <w:jc w:val="both"/>
      </w:pPr>
      <w:r>
        <w:rPr>
          <w:rFonts w:ascii="Times New Roman"/>
          <w:b w:val="false"/>
          <w:i w:val="false"/>
          <w:color w:val="000000"/>
          <w:sz w:val="28"/>
        </w:rPr>
        <w:t>
      11. По проектам субсидирования,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(одного) года после выдачи кредита. В последующем, сроки выезда на место реализации проекта определяются согласно дополнительному сроку, предоставленному финансовым агентством.";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xml:space="preserve">
      "17. В рамках мониторинга проекта финансовое агентство в срок не позднее, чем за 20 (двадцать) рабочих дней до даты начала мониторинга направляет банку/лизинговой компании/МФО уведомление о проведении мониторинга в рамках Программы/Механизма c перечнем проектов, подлежащих мониторингу, сроками проведения мониторинга и перечнем документов, необходимых для проведения мониторинга субсидируемых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bookmarkStart w:name="z50" w:id="43"/>
    <w:p>
      <w:pPr>
        <w:spacing w:after="0"/>
        <w:ind w:left="0"/>
        <w:jc w:val="both"/>
      </w:pPr>
      <w:r>
        <w:rPr>
          <w:rFonts w:ascii="Times New Roman"/>
          <w:b w:val="false"/>
          <w:i w:val="false"/>
          <w:color w:val="000000"/>
          <w:sz w:val="28"/>
        </w:rPr>
        <w:t xml:space="preserve">
      В рамках мониторинга проекта финансовое агентство в срок не позднее, чем за 20 (двадцать) рабочих дней до даты начала мониторинга направляет эмитенту/представителю держателей облигаций уведомление о проведении мониторинга в рамках Программы со списком проектов, подлежащих мониторингу, сроками проведения мониторинга и перечнем документов, необходимых для проведения мониторинга проектов при субсидировании ставки купонного вознаграждения по облигациям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3"/>
    <w:bookmarkStart w:name="z51" w:id="44"/>
    <w:p>
      <w:pPr>
        <w:spacing w:after="0"/>
        <w:ind w:left="0"/>
        <w:jc w:val="both"/>
      </w:pPr>
      <w:r>
        <w:rPr>
          <w:rFonts w:ascii="Times New Roman"/>
          <w:b w:val="false"/>
          <w:i w:val="false"/>
          <w:color w:val="000000"/>
          <w:sz w:val="28"/>
        </w:rPr>
        <w:t xml:space="preserve">
      Список проектов, подлежащих мониторингу, формируется из общего пула действующих договоров субсидирования, заключенных за соответствующий период, подлежащих мониторингу, за исключением проектов предпринимателей, по которым кредиты на дату проведения мониторинга погашены либо субсидирование по ним прекращено на основании решения финансового агентства. </w:t>
      </w:r>
    </w:p>
    <w:bookmarkEnd w:id="44"/>
    <w:bookmarkStart w:name="z52" w:id="45"/>
    <w:p>
      <w:pPr>
        <w:spacing w:after="0"/>
        <w:ind w:left="0"/>
        <w:jc w:val="both"/>
      </w:pPr>
      <w:r>
        <w:rPr>
          <w:rFonts w:ascii="Times New Roman"/>
          <w:b w:val="false"/>
          <w:i w:val="false"/>
          <w:color w:val="000000"/>
          <w:sz w:val="28"/>
        </w:rPr>
        <w:t xml:space="preserve">
      Перечень проектов, профинансированных в рамках первого направления Программы по инструменту портфельное субсидирование, подлежащих мониторингу, формируется выборочно из общего пула действующих договоров субсидирования, заключенных за соответствующий период и направленных на инвестиционные цели. По смешанным кредитным линиям мониторинг проводится только по инвестиционным траншам. </w:t>
      </w:r>
    </w:p>
    <w:bookmarkEnd w:id="45"/>
    <w:bookmarkStart w:name="z53" w:id="46"/>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проекта, отражается в уведомлении финансового агентства с учетом даты начала мониторинга проекта.";</w:t>
      </w:r>
    </w:p>
    <w:bookmarkEnd w:id="46"/>
    <w:bookmarkStart w:name="z54" w:id="47"/>
    <w:p>
      <w:pPr>
        <w:spacing w:after="0"/>
        <w:ind w:left="0"/>
        <w:jc w:val="both"/>
      </w:pPr>
      <w:r>
        <w:rPr>
          <w:rFonts w:ascii="Times New Roman"/>
          <w:b w:val="false"/>
          <w:i w:val="false"/>
          <w:color w:val="000000"/>
          <w:sz w:val="28"/>
        </w:rPr>
        <w:t>
      дополнить пунктом 18-1 следующего содержания:</w:t>
      </w:r>
    </w:p>
    <w:bookmarkEnd w:id="47"/>
    <w:bookmarkStart w:name="z55" w:id="48"/>
    <w:p>
      <w:pPr>
        <w:spacing w:after="0"/>
        <w:ind w:left="0"/>
        <w:jc w:val="both"/>
      </w:pPr>
      <w:r>
        <w:rPr>
          <w:rFonts w:ascii="Times New Roman"/>
          <w:b w:val="false"/>
          <w:i w:val="false"/>
          <w:color w:val="000000"/>
          <w:sz w:val="28"/>
        </w:rPr>
        <w:t>
      "18-1. Финансовое агентство проводит внеплановый мониторинг по проектам, профинансированным в рамках первого направления Программы по инструменту портфельного субсидирования при получении уведомления от Банка/МФО об установлении следующих фактов:</w:t>
      </w:r>
    </w:p>
    <w:bookmarkEnd w:id="48"/>
    <w:bookmarkStart w:name="z56" w:id="49"/>
    <w:p>
      <w:pPr>
        <w:spacing w:after="0"/>
        <w:ind w:left="0"/>
        <w:jc w:val="both"/>
      </w:pPr>
      <w:r>
        <w:rPr>
          <w:rFonts w:ascii="Times New Roman"/>
          <w:b w:val="false"/>
          <w:i w:val="false"/>
          <w:color w:val="000000"/>
          <w:sz w:val="28"/>
        </w:rPr>
        <w:t>
      1) нецелевого использования кредита/микрокредита;</w:t>
      </w:r>
    </w:p>
    <w:bookmarkEnd w:id="49"/>
    <w:bookmarkStart w:name="z57" w:id="50"/>
    <w:p>
      <w:pPr>
        <w:spacing w:after="0"/>
        <w:ind w:left="0"/>
        <w:jc w:val="both"/>
      </w:pPr>
      <w:r>
        <w:rPr>
          <w:rFonts w:ascii="Times New Roman"/>
          <w:b w:val="false"/>
          <w:i w:val="false"/>
          <w:color w:val="000000"/>
          <w:sz w:val="28"/>
        </w:rPr>
        <w:t>
      2) несоответствия проекта и/или предпринимателя условиям Программы.</w:t>
      </w:r>
    </w:p>
    <w:bookmarkEnd w:id="50"/>
    <w:bookmarkStart w:name="z58" w:id="51"/>
    <w:p>
      <w:pPr>
        <w:spacing w:after="0"/>
        <w:ind w:left="0"/>
        <w:jc w:val="both"/>
      </w:pPr>
      <w:r>
        <w:rPr>
          <w:rFonts w:ascii="Times New Roman"/>
          <w:b w:val="false"/>
          <w:i w:val="false"/>
          <w:color w:val="000000"/>
          <w:sz w:val="28"/>
        </w:rPr>
        <w:t>
      При этом, срок проведения внепланового мониторинга отражается в соответствующем уведомлении финансового агентства.";</w:t>
      </w:r>
    </w:p>
    <w:bookmarkEnd w:id="51"/>
    <w:bookmarkStart w:name="z59" w:id="52"/>
    <w:p>
      <w:pPr>
        <w:spacing w:after="0"/>
        <w:ind w:left="0"/>
        <w:jc w:val="both"/>
      </w:pPr>
      <w:r>
        <w:rPr>
          <w:rFonts w:ascii="Times New Roman"/>
          <w:b w:val="false"/>
          <w:i w:val="false"/>
          <w:color w:val="000000"/>
          <w:sz w:val="28"/>
        </w:rPr>
        <w:t>
      дополнить пунктом 22-1 следующего содержания:</w:t>
      </w:r>
    </w:p>
    <w:bookmarkEnd w:id="52"/>
    <w:bookmarkStart w:name="z60" w:id="53"/>
    <w:p>
      <w:pPr>
        <w:spacing w:after="0"/>
        <w:ind w:left="0"/>
        <w:jc w:val="both"/>
      </w:pPr>
      <w:r>
        <w:rPr>
          <w:rFonts w:ascii="Times New Roman"/>
          <w:b w:val="false"/>
          <w:i w:val="false"/>
          <w:color w:val="000000"/>
          <w:sz w:val="28"/>
        </w:rPr>
        <w:t>
      "22-1. Перечень проектов, профинансированных в рамках первого направления Программы по инструменту портфельное частичное гарантирование, подлежащих мониторингу формируется финансовым агентством выборочно из общего пула действующих договоров гарантирования, заключенных за соответствующий период и направленных на инвестиционные цели (по смешанным кредитным линиям мониторинг проводится только по инвестиционным траншам).";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62" w:id="54"/>
    <w:p>
      <w:pPr>
        <w:spacing w:after="0"/>
        <w:ind w:left="0"/>
        <w:jc w:val="both"/>
      </w:pPr>
      <w:r>
        <w:rPr>
          <w:rFonts w:ascii="Times New Roman"/>
          <w:b w:val="false"/>
          <w:i w:val="false"/>
          <w:color w:val="000000"/>
          <w:sz w:val="28"/>
        </w:rPr>
        <w:t xml:space="preserve">
      "27. Банк/МФО осуществляет мониторинг проекта предпринимателя, который включает ежемесячный текущий мониторинг хода реализации проекта (-ов) предпринимателя. Отчет о текущем мониторинге хода реализации проекта (-ов) предпринимателей в рамках первого/второго направления Программы и в рамках Механизма, подготовленный банком/МФО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представляется финансовому агентству отдельно в разрезе программ не позднее 5 (пятого) числа месяца, следующего за отчетным месяцем, посредством информационных систем, предназначенных для сбора и обмена информацией, подписанный электронной цифровой подписью в соответствии с законодательством Республики Казахстан, или в письменном виде (при предоставлении отчета в письменном виде, электронная форма отчета дополнительно направляется на электронный адрес ответственного исполнителя, определенного финансовым агентством).</w:t>
      </w:r>
    </w:p>
    <w:bookmarkEnd w:id="54"/>
    <w:bookmarkStart w:name="z63" w:id="55"/>
    <w:p>
      <w:pPr>
        <w:spacing w:after="0"/>
        <w:ind w:left="0"/>
        <w:jc w:val="both"/>
      </w:pPr>
      <w:r>
        <w:rPr>
          <w:rFonts w:ascii="Times New Roman"/>
          <w:b w:val="false"/>
          <w:i w:val="false"/>
          <w:color w:val="000000"/>
          <w:sz w:val="28"/>
        </w:rPr>
        <w:t>
      28. Финансовое агентство не проводит мониторинг целевого использования кредита предпринимателем/ мониторинг соответствия проекта и (или) предпринимателя условиям Программы или Механизма и (или) решению финансового агентства по проектам, получившим гарантию финансового агентства в рамках портфельного гарантирования, профинансированным в рамках второго направления Программы. Мониторинг указанных проектов проводится в случаях, когда предпринимателем не исполняются обязательства по погашению суммы основного долга по договору займа в течение 60 (шестидесяти) календарных дней (или в иной срок, установленный договором гарантии).</w:t>
      </w:r>
    </w:p>
    <w:bookmarkEnd w:id="55"/>
    <w:bookmarkStart w:name="z64" w:id="56"/>
    <w:p>
      <w:pPr>
        <w:spacing w:after="0"/>
        <w:ind w:left="0"/>
        <w:jc w:val="both"/>
      </w:pPr>
      <w:r>
        <w:rPr>
          <w:rFonts w:ascii="Times New Roman"/>
          <w:b w:val="false"/>
          <w:i w:val="false"/>
          <w:color w:val="000000"/>
          <w:sz w:val="28"/>
        </w:rPr>
        <w:t>
      По проектам, получившим гарантию в рамках инструмента портфельного частичного гарантирования по первому направлению Программы в случаях неисполнения предпринимателем обязательств по погашению суммы основного долга по кредитному договору в течение 60 (шестьдесят) календарных дней (или в иной срок, установленный договором гарантии), финансовое агентство проводит мониторинг только по инвестиционным проектам (по смешанным кредитным линиям мониторинг проводится только по инвестиционным траншам).";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6" w:id="57"/>
    <w:p>
      <w:pPr>
        <w:spacing w:after="0"/>
        <w:ind w:left="0"/>
        <w:jc w:val="both"/>
      </w:pPr>
      <w:r>
        <w:rPr>
          <w:rFonts w:ascii="Times New Roman"/>
          <w:b w:val="false"/>
          <w:i w:val="false"/>
          <w:color w:val="000000"/>
          <w:sz w:val="28"/>
        </w:rPr>
        <w:t>
      "37. Финансовое агентство проводит мониторинг соответствия нового инвестиционного проекта и (или) проекта, направленного на модернизацию и расширение производства предпринимателя, пополнение оборотных средств и франчайзинг, в том числе получившие государственную поддержку в период с 2017 по 2019 годы в рамках первого и второго направления Государственной программы поддержки и развития бизнеса "Дорожная карта бизнеса-2020", критериям эффективности в рамках Программы (за исключением проектов портфельного субсидирования и портфельного частичного гарантирования, профинансированных в рамках первого направления Программы), а также соответствия критериям эффективности новых и действующих проектов в рамках Механизма. На кредиты, 100% которые направлены на рефинансирование текущих обязательств, требования о достижении критериев эффективности не распространяются.</w:t>
      </w:r>
    </w:p>
    <w:bookmarkEnd w:id="57"/>
    <w:bookmarkStart w:name="z67" w:id="58"/>
    <w:p>
      <w:pPr>
        <w:spacing w:after="0"/>
        <w:ind w:left="0"/>
        <w:jc w:val="both"/>
      </w:pPr>
      <w:r>
        <w:rPr>
          <w:rFonts w:ascii="Times New Roman"/>
          <w:b w:val="false"/>
          <w:i w:val="false"/>
          <w:color w:val="000000"/>
          <w:sz w:val="28"/>
        </w:rPr>
        <w:t>
      38. В целях проведения мониторинга критериев эффективности по Программе или Механизму, которые предусматривают сохранение/увеличение среднегодовой численности рабочих мест, увеличение объемов фонда оплаты труда, объема уплачиваемых налогов (корпоративный подоходный налог/индивидуальный подоходный налог) в бюджет за отчетный период, рост дохода (дохода от реализации: стоимость реализованных товаров, работ, услуг от основной деятельности), финансовое агентство использует информацию, полученную на основании данных Комитета государственных доходов Министерства финансов Республики Казахстан и информацию согласно выписке из лицевого счета о состоянии расчетов с бюджетом, а также по социальным платежам и (или) налоговые декларации, предоставленные банком/МФО/лизинговой компанией и (или) предпринимателем в ходе проведения мониторинга эффективности проектов.</w:t>
      </w:r>
    </w:p>
    <w:bookmarkEnd w:id="58"/>
    <w:bookmarkStart w:name="z68" w:id="59"/>
    <w:p>
      <w:pPr>
        <w:spacing w:after="0"/>
        <w:ind w:left="0"/>
        <w:jc w:val="both"/>
      </w:pPr>
      <w:r>
        <w:rPr>
          <w:rFonts w:ascii="Times New Roman"/>
          <w:b w:val="false"/>
          <w:i w:val="false"/>
          <w:color w:val="000000"/>
          <w:sz w:val="28"/>
        </w:rPr>
        <w:t>
      39. Определение объема производства (в денежном выражении) осуществляется финансовым агентством на основании статистических данных, годовой статистической отчетности предпринимателя, отражающих объем производства промышленной продукции (товаров, услуг).".</w:t>
      </w:r>
    </w:p>
    <w:bookmarkEnd w:id="59"/>
    <w:bookmarkStart w:name="z69" w:id="60"/>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в установленном законодательством порядке обеспечить:</w:t>
      </w:r>
    </w:p>
    <w:bookmarkEnd w:id="60"/>
    <w:bookmarkStart w:name="z70"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71"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62"/>
    <w:bookmarkStart w:name="z72"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3"/>
    <w:bookmarkStart w:name="z73" w:id="6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4"/>
    <w:bookmarkStart w:name="z74"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