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ff7b" w14:textId="15af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одобрения углеродного офсета и предоставления офсетных единиц</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5 ноября 2021 года № 455. Зарегистрирован в Министерстве юстиции Республики Казахстан 9 ноября 2021 года № 25074.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298 Экологического кодекса,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92)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одобрения углеродного офсета и предоставления офсетных единиц.</w:t>
      </w:r>
    </w:p>
    <w:bookmarkEnd w:id="1"/>
    <w:bookmarkStart w:name="z6"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Министерством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Министерством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Министерством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2021 года № 455</w:t>
            </w:r>
          </w:p>
        </w:tc>
      </w:tr>
    </w:tbl>
    <w:bookmarkStart w:name="z18" w:id="12"/>
    <w:p>
      <w:pPr>
        <w:spacing w:after="0"/>
        <w:ind w:left="0"/>
        <w:jc w:val="left"/>
      </w:pPr>
      <w:r>
        <w:rPr>
          <w:rFonts w:ascii="Times New Roman"/>
          <w:b/>
          <w:i w:val="false"/>
          <w:color w:val="000000"/>
        </w:rPr>
        <w:t xml:space="preserve"> Правила одобрения углеродного офсета и предоставления офсетных единиц</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одобрения углеродного офсета и предоставления офсетных единиц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определяют порядок рассмотрения, одобрения и учета углеродного офсета, а также предоставления офсетных единиц.</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5"/>
    <w:bookmarkStart w:name="z22" w:id="16"/>
    <w:p>
      <w:pPr>
        <w:spacing w:after="0"/>
        <w:ind w:left="0"/>
        <w:jc w:val="both"/>
      </w:pPr>
      <w:r>
        <w:rPr>
          <w:rFonts w:ascii="Times New Roman"/>
          <w:b w:val="false"/>
          <w:i w:val="false"/>
          <w:color w:val="000000"/>
          <w:sz w:val="28"/>
        </w:rPr>
        <w:t>
      1) утечка – воздействие на выбросы или поглощение парниковых газов вне места реализации проекта, обусловленное деятельностью по проекту, но не включенное в его границы;</w:t>
      </w:r>
    </w:p>
    <w:bookmarkEnd w:id="16"/>
    <w:bookmarkStart w:name="z23" w:id="17"/>
    <w:p>
      <w:pPr>
        <w:spacing w:after="0"/>
        <w:ind w:left="0"/>
        <w:jc w:val="both"/>
      </w:pPr>
      <w:r>
        <w:rPr>
          <w:rFonts w:ascii="Times New Roman"/>
          <w:b w:val="false"/>
          <w:i w:val="false"/>
          <w:color w:val="000000"/>
          <w:sz w:val="28"/>
        </w:rPr>
        <w:t>
      2) базовый сценарий – сценарий, отражающий уровень выбросов парниковых газов и (или) уровень поглощения парниковых газов в случае отсутствия предлагаемого углеродного офсета, в сравнении с которым оценивается достигнутый объем сокращения выбросов или поглощения парниковых газов;</w:t>
      </w:r>
    </w:p>
    <w:bookmarkEnd w:id="17"/>
    <w:p>
      <w:pPr>
        <w:spacing w:after="0"/>
        <w:ind w:left="0"/>
        <w:jc w:val="both"/>
      </w:pPr>
      <w:r>
        <w:rPr>
          <w:rFonts w:ascii="Times New Roman"/>
          <w:b w:val="false"/>
          <w:i w:val="false"/>
          <w:color w:val="000000"/>
          <w:sz w:val="28"/>
        </w:rPr>
        <w:t>
      2-1) дополнительность – критерий, который подтверждает, что снижение антропогенных выбросов парниковых газов, достигнутое в рамках проекта, является результатом конкретных действий, осуществленных в рамках данного проекта, и не произошло бы в отсутствие данной деятельности;</w:t>
      </w:r>
    </w:p>
    <w:bookmarkStart w:name="z24" w:id="18"/>
    <w:p>
      <w:pPr>
        <w:spacing w:after="0"/>
        <w:ind w:left="0"/>
        <w:jc w:val="both"/>
      </w:pPr>
      <w:r>
        <w:rPr>
          <w:rFonts w:ascii="Times New Roman"/>
          <w:b w:val="false"/>
          <w:i w:val="false"/>
          <w:color w:val="000000"/>
          <w:sz w:val="28"/>
        </w:rPr>
        <w:t>
      3) проектный период – период, в течение которого планируемая деятельность по реализации углеродного офсета обеспечивает сокращение выбросов парниковых газов и (или) увеличение поглощения парниковых газов;</w:t>
      </w:r>
    </w:p>
    <w:bookmarkEnd w:id="18"/>
    <w:bookmarkStart w:name="z25" w:id="19"/>
    <w:p>
      <w:pPr>
        <w:spacing w:after="0"/>
        <w:ind w:left="0"/>
        <w:jc w:val="both"/>
      </w:pPr>
      <w:r>
        <w:rPr>
          <w:rFonts w:ascii="Times New Roman"/>
          <w:b w:val="false"/>
          <w:i w:val="false"/>
          <w:color w:val="000000"/>
          <w:sz w:val="28"/>
        </w:rPr>
        <w:t>
      4) заявитель проекта – физическое лицо, юридическое лицо или группа юридических лиц, зарегистрированные на территории Республики Казахстан, представляющие проект углеродного офсета на рассмотрение и одобрение уполномоченному органу;</w:t>
      </w:r>
    </w:p>
    <w:bookmarkEnd w:id="19"/>
    <w:bookmarkStart w:name="z26" w:id="20"/>
    <w:p>
      <w:pPr>
        <w:spacing w:after="0"/>
        <w:ind w:left="0"/>
        <w:jc w:val="both"/>
      </w:pPr>
      <w:r>
        <w:rPr>
          <w:rFonts w:ascii="Times New Roman"/>
          <w:b w:val="false"/>
          <w:i w:val="false"/>
          <w:color w:val="000000"/>
          <w:sz w:val="28"/>
        </w:rPr>
        <w:t>
      5)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поглощения парниковых газов;</w:t>
      </w:r>
    </w:p>
    <w:bookmarkEnd w:id="20"/>
    <w:bookmarkStart w:name="z27" w:id="21"/>
    <w:p>
      <w:pPr>
        <w:spacing w:after="0"/>
        <w:ind w:left="0"/>
        <w:jc w:val="both"/>
      </w:pPr>
      <w:r>
        <w:rPr>
          <w:rFonts w:ascii="Times New Roman"/>
          <w:b w:val="false"/>
          <w:i w:val="false"/>
          <w:color w:val="000000"/>
          <w:sz w:val="28"/>
        </w:rPr>
        <w:t>
      6) орган по валидации и верификации (далее – аккредитованный орган) – орган, который выполняет валидацию и/или верификацию на соответствие согласованным критериям валидации и/или верификации, аккредитованный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7) углеродный офсет – сокращение выбросов парниковых газов и (или) увеличение поглощения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поглощения парниковых газов;</w:t>
      </w:r>
    </w:p>
    <w:bookmarkEnd w:id="22"/>
    <w:bookmarkStart w:name="z29" w:id="23"/>
    <w:p>
      <w:pPr>
        <w:spacing w:after="0"/>
        <w:ind w:left="0"/>
        <w:jc w:val="both"/>
      </w:pPr>
      <w:r>
        <w:rPr>
          <w:rFonts w:ascii="Times New Roman"/>
          <w:b w:val="false"/>
          <w:i w:val="false"/>
          <w:color w:val="000000"/>
          <w:sz w:val="28"/>
        </w:rPr>
        <w:t>
      8) проект углеродного офсета (проект) – планируемая деятельность по реализации углеродного офсета;</w:t>
      </w:r>
    </w:p>
    <w:bookmarkEnd w:id="23"/>
    <w:p>
      <w:pPr>
        <w:spacing w:after="0"/>
        <w:ind w:left="0"/>
        <w:jc w:val="both"/>
      </w:pPr>
      <w:r>
        <w:rPr>
          <w:rFonts w:ascii="Times New Roman"/>
          <w:b w:val="false"/>
          <w:i w:val="false"/>
          <w:color w:val="000000"/>
          <w:sz w:val="28"/>
        </w:rPr>
        <w:t>
      8-1) проект углеродного офсета, реализуемый на землях государственного лесного фонда – планируемая деятельность по реализации углеродного офсета на землях государственного лесного фонда на основании договора на реализацию проектов углеродных офсетов на участках государственного лесного фонда в соответствии с лесным законодательством Республики Казахстан;</w:t>
      </w:r>
    </w:p>
    <w:bookmarkStart w:name="z30" w:id="24"/>
    <w:p>
      <w:pPr>
        <w:spacing w:after="0"/>
        <w:ind w:left="0"/>
        <w:jc w:val="both"/>
      </w:pPr>
      <w:r>
        <w:rPr>
          <w:rFonts w:ascii="Times New Roman"/>
          <w:b w:val="false"/>
          <w:i w:val="false"/>
          <w:color w:val="000000"/>
          <w:sz w:val="28"/>
        </w:rPr>
        <w:t>
      9) уровень существенности – количественное пороговое значение, которое используется для подготовки заключения о верификации отчета о реализации углеродного офсета;</w:t>
      </w:r>
    </w:p>
    <w:bookmarkEnd w:id="24"/>
    <w:bookmarkStart w:name="z31" w:id="25"/>
    <w:p>
      <w:pPr>
        <w:spacing w:after="0"/>
        <w:ind w:left="0"/>
        <w:jc w:val="both"/>
      </w:pPr>
      <w:r>
        <w:rPr>
          <w:rFonts w:ascii="Times New Roman"/>
          <w:b w:val="false"/>
          <w:i w:val="false"/>
          <w:color w:val="000000"/>
          <w:sz w:val="28"/>
        </w:rPr>
        <w:t>
      10) мониторинг – проводимая по углеродным офсетам непрерывная или периодическая оценка выбросов и (или) поглощения парниковых газов или других сопутствующих данных по деятельности, связанных с выбросами и (или) поглощением парниковых газов;</w:t>
      </w:r>
    </w:p>
    <w:bookmarkEnd w:id="25"/>
    <w:bookmarkStart w:name="z32" w:id="26"/>
    <w:p>
      <w:pPr>
        <w:spacing w:after="0"/>
        <w:ind w:left="0"/>
        <w:jc w:val="both"/>
      </w:pPr>
      <w:r>
        <w:rPr>
          <w:rFonts w:ascii="Times New Roman"/>
          <w:b w:val="false"/>
          <w:i w:val="false"/>
          <w:color w:val="000000"/>
          <w:sz w:val="28"/>
        </w:rPr>
        <w:t>
      11) офсетная единица – углеродная единица, применяемая в целях исчисления углеродного офсета;</w:t>
      </w:r>
    </w:p>
    <w:bookmarkEnd w:id="26"/>
    <w:bookmarkStart w:name="z33" w:id="27"/>
    <w:p>
      <w:pPr>
        <w:spacing w:after="0"/>
        <w:ind w:left="0"/>
        <w:jc w:val="both"/>
      </w:pPr>
      <w:r>
        <w:rPr>
          <w:rFonts w:ascii="Times New Roman"/>
          <w:b w:val="false"/>
          <w:i w:val="false"/>
          <w:color w:val="000000"/>
          <w:sz w:val="28"/>
        </w:rPr>
        <w:t>
      12) базовый уровень поглощения парниковых газов – выраженная в тоннах эквивалента диоксида углерода величина поглощения парниковых газов за определенный период при существующих условиях эксплуатации без реализации углеродного офсета, направленного на увеличение поглощения парниковых газов;</w:t>
      </w:r>
    </w:p>
    <w:bookmarkEnd w:id="27"/>
    <w:bookmarkStart w:name="z34" w:id="28"/>
    <w:p>
      <w:pPr>
        <w:spacing w:after="0"/>
        <w:ind w:left="0"/>
        <w:jc w:val="both"/>
      </w:pPr>
      <w:r>
        <w:rPr>
          <w:rFonts w:ascii="Times New Roman"/>
          <w:b w:val="false"/>
          <w:i w:val="false"/>
          <w:color w:val="000000"/>
          <w:sz w:val="28"/>
        </w:rPr>
        <w:t>
      13) увеличение поглощения парниковых газов – расчетное увеличение поглощения парниковых газов по отношению к базовому сценарию;</w:t>
      </w:r>
    </w:p>
    <w:bookmarkEnd w:id="28"/>
    <w:bookmarkStart w:name="z35" w:id="29"/>
    <w:p>
      <w:pPr>
        <w:spacing w:after="0"/>
        <w:ind w:left="0"/>
        <w:jc w:val="both"/>
      </w:pPr>
      <w:r>
        <w:rPr>
          <w:rFonts w:ascii="Times New Roman"/>
          <w:b w:val="false"/>
          <w:i w:val="false"/>
          <w:color w:val="000000"/>
          <w:sz w:val="28"/>
        </w:rPr>
        <w:t>
      14) сокращение выбросов парниковых газов – расчетное снижение выбросов парниковых газов по отношению к базовому сценарию;</w:t>
      </w:r>
    </w:p>
    <w:bookmarkEnd w:id="29"/>
    <w:bookmarkStart w:name="z36" w:id="30"/>
    <w:p>
      <w:pPr>
        <w:spacing w:after="0"/>
        <w:ind w:left="0"/>
        <w:jc w:val="both"/>
      </w:pPr>
      <w:r>
        <w:rPr>
          <w:rFonts w:ascii="Times New Roman"/>
          <w:b w:val="false"/>
          <w:i w:val="false"/>
          <w:color w:val="000000"/>
          <w:sz w:val="28"/>
        </w:rPr>
        <w:t>
      15) базовый уровень выбросов парниковых газов – выраженная в тоннах эквивалента диоксида углерода величина выбросов парниковых газов, произведенных объектом выбросов этих газов за определенный период при условии использования, существующих на данном объекте технологий, оборудования и при других наиболее вероятных условиях, которые могут иметь место без реализации углеродного офсета, направленного на сокращение выбросов парниковых газов;</w:t>
      </w:r>
    </w:p>
    <w:bookmarkEnd w:id="30"/>
    <w:bookmarkStart w:name="z37" w:id="31"/>
    <w:p>
      <w:pPr>
        <w:spacing w:after="0"/>
        <w:ind w:left="0"/>
        <w:jc w:val="both"/>
      </w:pPr>
      <w:r>
        <w:rPr>
          <w:rFonts w:ascii="Times New Roman"/>
          <w:b w:val="false"/>
          <w:i w:val="false"/>
          <w:color w:val="000000"/>
          <w:sz w:val="28"/>
        </w:rPr>
        <w:t>
      16) уполномоченный орган – уполномоченный орган в области охраны окружающей среды;</w:t>
      </w:r>
    </w:p>
    <w:bookmarkEnd w:id="31"/>
    <w:p>
      <w:pPr>
        <w:spacing w:after="0"/>
        <w:ind w:left="0"/>
        <w:jc w:val="both"/>
      </w:pPr>
      <w:r>
        <w:rPr>
          <w:rFonts w:ascii="Times New Roman"/>
          <w:b w:val="false"/>
          <w:i w:val="false"/>
          <w:color w:val="000000"/>
          <w:sz w:val="28"/>
        </w:rPr>
        <w:t>
      16-1) уполномоченный орган в области лесного хозяйства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Start w:name="z38" w:id="32"/>
    <w:p>
      <w:pPr>
        <w:spacing w:after="0"/>
        <w:ind w:left="0"/>
        <w:jc w:val="both"/>
      </w:pPr>
      <w:r>
        <w:rPr>
          <w:rFonts w:ascii="Times New Roman"/>
          <w:b w:val="false"/>
          <w:i w:val="false"/>
          <w:color w:val="000000"/>
          <w:sz w:val="28"/>
        </w:rPr>
        <w:t>
      17) маломасштабный проект – проект, связанный с возобновляемыми источниками энергии мощностью до 15 мегаватт;</w:t>
      </w:r>
    </w:p>
    <w:bookmarkEnd w:id="32"/>
    <w:p>
      <w:pPr>
        <w:spacing w:after="0"/>
        <w:ind w:left="0"/>
        <w:jc w:val="both"/>
      </w:pPr>
      <w:r>
        <w:rPr>
          <w:rFonts w:ascii="Times New Roman"/>
          <w:b w:val="false"/>
          <w:i w:val="false"/>
          <w:color w:val="000000"/>
          <w:sz w:val="28"/>
        </w:rPr>
        <w:t>
      18) лесоразведение – создание и выращивание искусственных лесных насаждений на территориях, не находившихся ранее под лесом;</w:t>
      </w:r>
    </w:p>
    <w:p>
      <w:pPr>
        <w:spacing w:after="0"/>
        <w:ind w:left="0"/>
        <w:jc w:val="both"/>
      </w:pPr>
      <w:r>
        <w:rPr>
          <w:rFonts w:ascii="Times New Roman"/>
          <w:b w:val="false"/>
          <w:i w:val="false"/>
          <w:color w:val="000000"/>
          <w:sz w:val="28"/>
        </w:rPr>
        <w:t>
      19)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p>
      <w:pPr>
        <w:spacing w:after="0"/>
        <w:ind w:left="0"/>
        <w:jc w:val="both"/>
      </w:pPr>
      <w:r>
        <w:rPr>
          <w:rFonts w:ascii="Times New Roman"/>
          <w:b w:val="false"/>
          <w:i w:val="false"/>
          <w:color w:val="000000"/>
          <w:sz w:val="28"/>
        </w:rPr>
        <w:t>
      20)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Лесным Кодексом;</w:t>
      </w:r>
    </w:p>
    <w:p>
      <w:pPr>
        <w:spacing w:after="0"/>
        <w:ind w:left="0"/>
        <w:jc w:val="both"/>
      </w:pPr>
      <w:r>
        <w:rPr>
          <w:rFonts w:ascii="Times New Roman"/>
          <w:b w:val="false"/>
          <w:i w:val="false"/>
          <w:color w:val="000000"/>
          <w:sz w:val="28"/>
        </w:rPr>
        <w:t>
      21)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3. Реализация деятельности в Республике Казахстан на основе углеродных офсетов осуществляется их участниками на добровольной основе и не является основанием для ее финансирования из государственного бюджета.</w:t>
      </w:r>
    </w:p>
    <w:bookmarkEnd w:id="33"/>
    <w:bookmarkStart w:name="z40" w:id="34"/>
    <w:p>
      <w:pPr>
        <w:spacing w:after="0"/>
        <w:ind w:left="0"/>
        <w:jc w:val="both"/>
      </w:pPr>
      <w:r>
        <w:rPr>
          <w:rFonts w:ascii="Times New Roman"/>
          <w:b w:val="false"/>
          <w:i w:val="false"/>
          <w:color w:val="000000"/>
          <w:sz w:val="28"/>
        </w:rPr>
        <w:t>
      4. Проекты углеродного офсета по своему типу подразделяются на обычные проекты, маломасштабные проекты и проекты, направленные на увеличение поглощения парниковых газов.</w:t>
      </w:r>
    </w:p>
    <w:bookmarkEnd w:id="34"/>
    <w:bookmarkStart w:name="z195" w:id="35"/>
    <w:p>
      <w:pPr>
        <w:spacing w:after="0"/>
        <w:ind w:left="0"/>
        <w:jc w:val="both"/>
      </w:pPr>
      <w:r>
        <w:rPr>
          <w:rFonts w:ascii="Times New Roman"/>
          <w:b w:val="false"/>
          <w:i w:val="false"/>
          <w:color w:val="000000"/>
          <w:sz w:val="28"/>
        </w:rPr>
        <w:t>
      4-1. Углеродные офсеты на территории государственного лесного фонда реализуются следующими способами:</w:t>
      </w:r>
    </w:p>
    <w:bookmarkEnd w:id="35"/>
    <w:p>
      <w:pPr>
        <w:spacing w:after="0"/>
        <w:ind w:left="0"/>
        <w:jc w:val="both"/>
      </w:pPr>
      <w:r>
        <w:rPr>
          <w:rFonts w:ascii="Times New Roman"/>
          <w:b w:val="false"/>
          <w:i w:val="false"/>
          <w:color w:val="000000"/>
          <w:sz w:val="28"/>
        </w:rPr>
        <w:t>
      1) воспроизводство лесов (за исключением проведения мер содействия естественному возобновлению включая меры по уходу за лесом и его оздоровлению);</w:t>
      </w:r>
    </w:p>
    <w:p>
      <w:pPr>
        <w:spacing w:after="0"/>
        <w:ind w:left="0"/>
        <w:jc w:val="both"/>
      </w:pPr>
      <w:r>
        <w:rPr>
          <w:rFonts w:ascii="Times New Roman"/>
          <w:b w:val="false"/>
          <w:i w:val="false"/>
          <w:color w:val="000000"/>
          <w:sz w:val="28"/>
        </w:rPr>
        <w:t>
      2) лесоразведение.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36"/>
    <w:p>
      <w:pPr>
        <w:spacing w:after="0"/>
        <w:ind w:left="0"/>
        <w:jc w:val="both"/>
      </w:pPr>
      <w:r>
        <w:rPr>
          <w:rFonts w:ascii="Times New Roman"/>
          <w:b w:val="false"/>
          <w:i w:val="false"/>
          <w:color w:val="000000"/>
          <w:sz w:val="28"/>
        </w:rPr>
        <w:t>
      4-2. Работы на территории государственного лесного фонда ведутся согласно требованиям лесного законодательства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4-2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37"/>
    <w:p>
      <w:pPr>
        <w:spacing w:after="0"/>
        <w:ind w:left="0"/>
        <w:jc w:val="both"/>
      </w:pPr>
      <w:r>
        <w:rPr>
          <w:rFonts w:ascii="Times New Roman"/>
          <w:b w:val="false"/>
          <w:i w:val="false"/>
          <w:color w:val="000000"/>
          <w:sz w:val="28"/>
        </w:rPr>
        <w:t xml:space="preserve">
      4-3. Мероприятия по охране и защите созданных насаждений на землях государственного лесного фонда осуществляются лесовладельцем в рамках договора на реализацию проектов углеродных офсетов на участках государственного лесного фонда, типовая форма которого установлена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4-3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8"/>
    <w:p>
      <w:pPr>
        <w:spacing w:after="0"/>
        <w:ind w:left="0"/>
        <w:jc w:val="both"/>
      </w:pPr>
      <w:r>
        <w:rPr>
          <w:rFonts w:ascii="Times New Roman"/>
          <w:b w:val="false"/>
          <w:i w:val="false"/>
          <w:color w:val="000000"/>
          <w:sz w:val="28"/>
        </w:rPr>
        <w:t>
      4-4. Работы по посадке лесных насаждений и уходу за ними производятся с привлечением лесовладельца в рамках договора, указанного в пункте 4-3 настоящих Правил.</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4-4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5. В целях исключения двойного учета сокращений выбросов парниковых газов или увеличения поглощения парниковых газов по каждой отдельной установке, не осуществляется одновременно более одного углеродного офсета, направленного на снижение выбросов парниковых газов и (или) увеличение поглощения парниковых газов.</w:t>
      </w:r>
    </w:p>
    <w:bookmarkEnd w:id="39"/>
    <w:bookmarkStart w:name="z199" w:id="40"/>
    <w:p>
      <w:pPr>
        <w:spacing w:after="0"/>
        <w:ind w:left="0"/>
        <w:jc w:val="both"/>
      </w:pPr>
      <w:r>
        <w:rPr>
          <w:rFonts w:ascii="Times New Roman"/>
          <w:b w:val="false"/>
          <w:i w:val="false"/>
          <w:color w:val="000000"/>
          <w:sz w:val="28"/>
        </w:rPr>
        <w:t>
      5-1. Проекты по сокращению выбросов парниковых газов и (или) увеличению поглощения парниковых газов, реализованные до получения экспертного заключения оператора системы торговли углеродными единицами, не подлежат рассмотрению на предмет одобрения углеродных офсетов.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Глава 2. Порядок рассмотрения, одобрения и учета углеродных офсетов</w:t>
      </w:r>
    </w:p>
    <w:bookmarkEnd w:id="41"/>
    <w:bookmarkStart w:name="z43" w:id="42"/>
    <w:p>
      <w:pPr>
        <w:spacing w:after="0"/>
        <w:ind w:left="0"/>
        <w:jc w:val="both"/>
      </w:pPr>
      <w:r>
        <w:rPr>
          <w:rFonts w:ascii="Times New Roman"/>
          <w:b w:val="false"/>
          <w:i w:val="false"/>
          <w:color w:val="000000"/>
          <w:sz w:val="28"/>
        </w:rPr>
        <w:t>
      6. Для принятия решения о возможности реализации углеродного офсета заявитель проекта представляет в уполномоченный орган последовательно следующие документы:</w:t>
      </w:r>
    </w:p>
    <w:bookmarkEnd w:id="42"/>
    <w:bookmarkStart w:name="z44" w:id="43"/>
    <w:p>
      <w:pPr>
        <w:spacing w:after="0"/>
        <w:ind w:left="0"/>
        <w:jc w:val="both"/>
      </w:pPr>
      <w:r>
        <w:rPr>
          <w:rFonts w:ascii="Times New Roman"/>
          <w:b w:val="false"/>
          <w:i w:val="false"/>
          <w:color w:val="000000"/>
          <w:sz w:val="28"/>
        </w:rPr>
        <w:t>
      1) концепцию проекта (проектную идею), кроме случая, предусмотренного пунктом 15 Правил;</w:t>
      </w:r>
    </w:p>
    <w:bookmarkEnd w:id="43"/>
    <w:bookmarkStart w:name="z45" w:id="44"/>
    <w:p>
      <w:pPr>
        <w:spacing w:after="0"/>
        <w:ind w:left="0"/>
        <w:jc w:val="both"/>
      </w:pPr>
      <w:r>
        <w:rPr>
          <w:rFonts w:ascii="Times New Roman"/>
          <w:b w:val="false"/>
          <w:i w:val="false"/>
          <w:color w:val="000000"/>
          <w:sz w:val="28"/>
        </w:rPr>
        <w:t>
      2) проектную документацию;</w:t>
      </w:r>
    </w:p>
    <w:bookmarkEnd w:id="44"/>
    <w:bookmarkStart w:name="z46" w:id="45"/>
    <w:p>
      <w:pPr>
        <w:spacing w:after="0"/>
        <w:ind w:left="0"/>
        <w:jc w:val="both"/>
      </w:pPr>
      <w:r>
        <w:rPr>
          <w:rFonts w:ascii="Times New Roman"/>
          <w:b w:val="false"/>
          <w:i w:val="false"/>
          <w:color w:val="000000"/>
          <w:sz w:val="28"/>
        </w:rPr>
        <w:t>
      3) план мониторинга.</w:t>
      </w:r>
    </w:p>
    <w:bookmarkEnd w:id="45"/>
    <w:bookmarkStart w:name="z200" w:id="46"/>
    <w:p>
      <w:pPr>
        <w:spacing w:after="0"/>
        <w:ind w:left="0"/>
        <w:jc w:val="both"/>
      </w:pPr>
      <w:r>
        <w:rPr>
          <w:rFonts w:ascii="Times New Roman"/>
          <w:b w:val="false"/>
          <w:i w:val="false"/>
          <w:color w:val="000000"/>
          <w:sz w:val="28"/>
        </w:rPr>
        <w:t>
      6-1. Для определения места реализации углеродного офсета, направленного на поглощение парниковых газов на землях государственного лесного фонда, заявитель проекта проводит предварительный анализ земель государственного лесного фонда на предмет их пригодности для лесоразведения в соответствии с требованиями лесного законодательства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7. Концепция проекта (проектная идея) (далее – концепция проекта) представляется в уполномоченный орган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7"/>
    <w:bookmarkStart w:name="z201" w:id="48"/>
    <w:p>
      <w:pPr>
        <w:spacing w:after="0"/>
        <w:ind w:left="0"/>
        <w:jc w:val="both"/>
      </w:pPr>
      <w:r>
        <w:rPr>
          <w:rFonts w:ascii="Times New Roman"/>
          <w:b w:val="false"/>
          <w:i w:val="false"/>
          <w:color w:val="000000"/>
          <w:sz w:val="28"/>
        </w:rPr>
        <w:t>
      7-1. В рамках подготовки концепции проекта, заявителем осуществляется предварительная оценка на предмет определения базового сценария и базового уровня поглощения парниковых газов проектной идеи углеродного офсета, в том числе для проектов, реализуемых на землях государственного лесного фонда, включающая:</w:t>
      </w:r>
    </w:p>
    <w:bookmarkEnd w:id="48"/>
    <w:p>
      <w:pPr>
        <w:spacing w:after="0"/>
        <w:ind w:left="0"/>
        <w:jc w:val="both"/>
      </w:pPr>
      <w:r>
        <w:rPr>
          <w:rFonts w:ascii="Times New Roman"/>
          <w:b w:val="false"/>
          <w:i w:val="false"/>
          <w:color w:val="000000"/>
          <w:sz w:val="28"/>
        </w:rPr>
        <w:t>
      1) анализ типа почв, климатических условий и уровня деградации земель;</w:t>
      </w:r>
    </w:p>
    <w:p>
      <w:pPr>
        <w:spacing w:after="0"/>
        <w:ind w:left="0"/>
        <w:jc w:val="both"/>
      </w:pPr>
      <w:r>
        <w:rPr>
          <w:rFonts w:ascii="Times New Roman"/>
          <w:b w:val="false"/>
          <w:i w:val="false"/>
          <w:color w:val="000000"/>
          <w:sz w:val="28"/>
        </w:rPr>
        <w:t>
      2) обоснование выбора древесных и кустарниковых пород, расчет биомассы;</w:t>
      </w:r>
    </w:p>
    <w:p>
      <w:pPr>
        <w:spacing w:after="0"/>
        <w:ind w:left="0"/>
        <w:jc w:val="both"/>
      </w:pPr>
      <w:r>
        <w:rPr>
          <w:rFonts w:ascii="Times New Roman"/>
          <w:b w:val="false"/>
          <w:i w:val="false"/>
          <w:color w:val="000000"/>
          <w:sz w:val="28"/>
        </w:rPr>
        <w:t>
      3) прогноз объемов поглощения углерода на 30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9"/>
    <w:p>
      <w:pPr>
        <w:spacing w:after="0"/>
        <w:ind w:left="0"/>
        <w:jc w:val="both"/>
      </w:pPr>
      <w:r>
        <w:rPr>
          <w:rFonts w:ascii="Times New Roman"/>
          <w:b w:val="false"/>
          <w:i w:val="false"/>
          <w:color w:val="000000"/>
          <w:sz w:val="28"/>
        </w:rPr>
        <w:t>
      7-2. Срок реализации углеродного офсета, реализуемого на землях государственного лесного фонда составляет не более 30 лет.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7-2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50"/>
    <w:p>
      <w:pPr>
        <w:spacing w:after="0"/>
        <w:ind w:left="0"/>
        <w:jc w:val="both"/>
      </w:pPr>
      <w:r>
        <w:rPr>
          <w:rFonts w:ascii="Times New Roman"/>
          <w:b w:val="false"/>
          <w:i w:val="false"/>
          <w:color w:val="000000"/>
          <w:sz w:val="28"/>
        </w:rPr>
        <w:t>
      7-3. Для реализации углеродного офсета на землях государственного лесного фонда заявитель проекта направляет на согласование уполномоченному органу в области лесного хозяйства:</w:t>
      </w:r>
    </w:p>
    <w:bookmarkEnd w:id="50"/>
    <w:p>
      <w:pPr>
        <w:spacing w:after="0"/>
        <w:ind w:left="0"/>
        <w:jc w:val="both"/>
      </w:pPr>
      <w:r>
        <w:rPr>
          <w:rFonts w:ascii="Times New Roman"/>
          <w:b w:val="false"/>
          <w:i w:val="false"/>
          <w:color w:val="000000"/>
          <w:sz w:val="28"/>
        </w:rPr>
        <w:t>
      1) концепцию проекта (проектную идею);</w:t>
      </w:r>
    </w:p>
    <w:p>
      <w:pPr>
        <w:spacing w:after="0"/>
        <w:ind w:left="0"/>
        <w:jc w:val="both"/>
      </w:pPr>
      <w:r>
        <w:rPr>
          <w:rFonts w:ascii="Times New Roman"/>
          <w:b w:val="false"/>
          <w:i w:val="false"/>
          <w:color w:val="000000"/>
          <w:sz w:val="28"/>
        </w:rPr>
        <w:t>
      2) абрис участка и его геопривязка (координаты в системе WGS-84, QazTRF-23);</w:t>
      </w:r>
    </w:p>
    <w:p>
      <w:pPr>
        <w:spacing w:after="0"/>
        <w:ind w:left="0"/>
        <w:jc w:val="both"/>
      </w:pPr>
      <w:r>
        <w:rPr>
          <w:rFonts w:ascii="Times New Roman"/>
          <w:b w:val="false"/>
          <w:i w:val="false"/>
          <w:color w:val="000000"/>
          <w:sz w:val="28"/>
        </w:rPr>
        <w:t>
      3) перечень древесных и кустарниковых пород, которые будут использованы для реализации проекта;</w:t>
      </w:r>
    </w:p>
    <w:p>
      <w:pPr>
        <w:spacing w:after="0"/>
        <w:ind w:left="0"/>
        <w:jc w:val="both"/>
      </w:pPr>
      <w:r>
        <w:rPr>
          <w:rFonts w:ascii="Times New Roman"/>
          <w:b w:val="false"/>
          <w:i w:val="false"/>
          <w:color w:val="000000"/>
          <w:sz w:val="28"/>
        </w:rPr>
        <w:t>
      4) план ухода и мониторинга за посадками;</w:t>
      </w:r>
    </w:p>
    <w:p>
      <w:pPr>
        <w:spacing w:after="0"/>
        <w:ind w:left="0"/>
        <w:jc w:val="both"/>
      </w:pPr>
      <w:r>
        <w:rPr>
          <w:rFonts w:ascii="Times New Roman"/>
          <w:b w:val="false"/>
          <w:i w:val="false"/>
          <w:color w:val="000000"/>
          <w:sz w:val="28"/>
        </w:rPr>
        <w:t>
      5) меры по предотвращению пожаров и других рисков.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7-3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51"/>
    <w:p>
      <w:pPr>
        <w:spacing w:after="0"/>
        <w:ind w:left="0"/>
        <w:jc w:val="both"/>
      </w:pPr>
      <w:r>
        <w:rPr>
          <w:rFonts w:ascii="Times New Roman"/>
          <w:b w:val="false"/>
          <w:i w:val="false"/>
          <w:color w:val="000000"/>
          <w:sz w:val="28"/>
        </w:rPr>
        <w:t>
      7-4. Уполномоченный орган в области лесного хозяйства в течение двух рабочих дней направляет на экспертизу государственной лесоустроительной организации представленную концепцию проекта углеродного офсета, реализуемого на землях государственного лесного фонда и документы, согласно пункту 7-3 настоящих Правил.</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7-4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2"/>
    <w:p>
      <w:pPr>
        <w:spacing w:after="0"/>
        <w:ind w:left="0"/>
        <w:jc w:val="both"/>
      </w:pPr>
      <w:r>
        <w:rPr>
          <w:rFonts w:ascii="Times New Roman"/>
          <w:b w:val="false"/>
          <w:i w:val="false"/>
          <w:color w:val="000000"/>
          <w:sz w:val="28"/>
        </w:rPr>
        <w:t>
      7-5. Государственная лесоустроительная организация в течение десяти рабочих дней с момента получения рассматривает концепцию проекта углеродного офсета, реализуемого на землях государственного лесного фонда и документы, указанные в пункте 7-3 настоящих Правил и выдает заключение на предмет соответствия типам местопроизрастания, земельных участков, материалам лесоустройства.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7-5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53"/>
    <w:p>
      <w:pPr>
        <w:spacing w:after="0"/>
        <w:ind w:left="0"/>
        <w:jc w:val="both"/>
      </w:pPr>
      <w:r>
        <w:rPr>
          <w:rFonts w:ascii="Times New Roman"/>
          <w:b w:val="false"/>
          <w:i w:val="false"/>
          <w:color w:val="000000"/>
          <w:sz w:val="28"/>
        </w:rPr>
        <w:t>
      7-6. Решение о согласовании концепции проекта углеродного офсета, реализуемого на землях государственного лесного фонда принимается уполномоченным органом в области лесного хозяйства в течение 20 рабочих дней, на основании заключения государственной лесоустроительной организации.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7-6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4"/>
    <w:p>
      <w:pPr>
        <w:spacing w:after="0"/>
        <w:ind w:left="0"/>
        <w:jc w:val="both"/>
      </w:pPr>
      <w:r>
        <w:rPr>
          <w:rFonts w:ascii="Times New Roman"/>
          <w:b w:val="false"/>
          <w:i w:val="false"/>
          <w:color w:val="000000"/>
          <w:sz w:val="28"/>
        </w:rPr>
        <w:t>
      7-7. Для получения одобрения концепции проекта углеродного офсета, реализуемого на землях государственного лесного фонда, заявитель направляет в уполномоченный орган согласованную концепцию проекта, в соответствии с пунктом 7-6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7-7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xml:space="preserve">
      8. Проектная документация для углеродного офсета по сокращению выбросов парниковых газов и (или) по увеличению поглощения парниковых газов представляется в уполномоченный орган по соответствующим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55"/>
    <w:bookmarkStart w:name="z49" w:id="56"/>
    <w:p>
      <w:pPr>
        <w:spacing w:after="0"/>
        <w:ind w:left="0"/>
        <w:jc w:val="both"/>
      </w:pPr>
      <w:r>
        <w:rPr>
          <w:rFonts w:ascii="Times New Roman"/>
          <w:b w:val="false"/>
          <w:i w:val="false"/>
          <w:color w:val="000000"/>
          <w:sz w:val="28"/>
        </w:rPr>
        <w:t xml:space="preserve">
      9. Проектная документация и план мониторинга проекта разрабатываются на основе Методик по расчету выбросов и поглощения парниковых газов,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за № 31735) или международных методик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Парижского соглашения"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Киотского протокола к Рамочной конвенции Организации Объединенных Наций об изменении климата;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10. Заявитель проекта разрабатывает процедуры количественного определения сокращения выбросов парниковых газов и (или) увеличения их поглощения по отношению к базовому сценарию проекта.</w:t>
      </w:r>
    </w:p>
    <w:bookmarkEnd w:id="57"/>
    <w:bookmarkStart w:name="z51" w:id="58"/>
    <w:p>
      <w:pPr>
        <w:spacing w:after="0"/>
        <w:ind w:left="0"/>
        <w:jc w:val="both"/>
      </w:pPr>
      <w:r>
        <w:rPr>
          <w:rFonts w:ascii="Times New Roman"/>
          <w:b w:val="false"/>
          <w:i w:val="false"/>
          <w:color w:val="000000"/>
          <w:sz w:val="28"/>
        </w:rPr>
        <w:t>
      11. Оценка базового сценария углеродного офсета в проектной документации осуществляется на основе:</w:t>
      </w:r>
    </w:p>
    <w:bookmarkEnd w:id="58"/>
    <w:bookmarkStart w:name="z52" w:id="59"/>
    <w:p>
      <w:pPr>
        <w:spacing w:after="0"/>
        <w:ind w:left="0"/>
        <w:jc w:val="both"/>
      </w:pPr>
      <w:r>
        <w:rPr>
          <w:rFonts w:ascii="Times New Roman"/>
          <w:b w:val="false"/>
          <w:i w:val="false"/>
          <w:color w:val="000000"/>
          <w:sz w:val="28"/>
        </w:rPr>
        <w:t>
      1) сведений о фактических выбросах парниковых газов из источников и (или) их абсорбции поглотителями;</w:t>
      </w:r>
    </w:p>
    <w:bookmarkEnd w:id="59"/>
    <w:bookmarkStart w:name="z53" w:id="60"/>
    <w:p>
      <w:pPr>
        <w:spacing w:after="0"/>
        <w:ind w:left="0"/>
        <w:jc w:val="both"/>
      </w:pPr>
      <w:r>
        <w:rPr>
          <w:rFonts w:ascii="Times New Roman"/>
          <w:b w:val="false"/>
          <w:i w:val="false"/>
          <w:color w:val="000000"/>
          <w:sz w:val="28"/>
        </w:rPr>
        <w:t>
      2) учета возможных неопределенностей параметров и допущений в отношении условий реализации углеродного офсета;</w:t>
      </w:r>
    </w:p>
    <w:bookmarkEnd w:id="60"/>
    <w:bookmarkStart w:name="z54" w:id="61"/>
    <w:p>
      <w:pPr>
        <w:spacing w:after="0"/>
        <w:ind w:left="0"/>
        <w:jc w:val="both"/>
      </w:pPr>
      <w:r>
        <w:rPr>
          <w:rFonts w:ascii="Times New Roman"/>
          <w:b w:val="false"/>
          <w:i w:val="false"/>
          <w:color w:val="000000"/>
          <w:sz w:val="28"/>
        </w:rPr>
        <w:t>
      3) учета стратегических планов, программ и действия регулирующих норм по соответствующим видам экономической деятельности;</w:t>
      </w:r>
    </w:p>
    <w:bookmarkEnd w:id="61"/>
    <w:bookmarkStart w:name="z55" w:id="62"/>
    <w:p>
      <w:pPr>
        <w:spacing w:after="0"/>
        <w:ind w:left="0"/>
        <w:jc w:val="both"/>
      </w:pPr>
      <w:r>
        <w:rPr>
          <w:rFonts w:ascii="Times New Roman"/>
          <w:b w:val="false"/>
          <w:i w:val="false"/>
          <w:color w:val="000000"/>
          <w:sz w:val="28"/>
        </w:rPr>
        <w:t>
      4) одной из международных или утвержденных национальных методик.</w:t>
      </w:r>
    </w:p>
    <w:bookmarkEnd w:id="62"/>
    <w:bookmarkStart w:name="z56" w:id="63"/>
    <w:p>
      <w:pPr>
        <w:spacing w:after="0"/>
        <w:ind w:left="0"/>
        <w:jc w:val="both"/>
      </w:pPr>
      <w:r>
        <w:rPr>
          <w:rFonts w:ascii="Times New Roman"/>
          <w:b w:val="false"/>
          <w:i w:val="false"/>
          <w:color w:val="000000"/>
          <w:sz w:val="28"/>
        </w:rPr>
        <w:t>
      В случае использования в одном углеродном офсете нескольких однотипных источников и единых технологий допускается разработка базового сценария для одного источника и распространение этих исходных условий на другие источники.</w:t>
      </w:r>
    </w:p>
    <w:bookmarkEnd w:id="63"/>
    <w:bookmarkStart w:name="z57" w:id="64"/>
    <w:p>
      <w:pPr>
        <w:spacing w:after="0"/>
        <w:ind w:left="0"/>
        <w:jc w:val="both"/>
      </w:pPr>
      <w:r>
        <w:rPr>
          <w:rFonts w:ascii="Times New Roman"/>
          <w:b w:val="false"/>
          <w:i w:val="false"/>
          <w:color w:val="000000"/>
          <w:sz w:val="28"/>
        </w:rPr>
        <w:t>
      12. Описание разработанных или использованных заявителем проекта процедур количественного определения сокращения выбросов парниковых газов и (или) увеличения их поглощения по отношению к базовому сценарию проекта и мониторинга включается в план мониторинга.</w:t>
      </w:r>
    </w:p>
    <w:bookmarkEnd w:id="64"/>
    <w:bookmarkStart w:name="z58" w:id="65"/>
    <w:p>
      <w:pPr>
        <w:spacing w:after="0"/>
        <w:ind w:left="0"/>
        <w:jc w:val="both"/>
      </w:pPr>
      <w:r>
        <w:rPr>
          <w:rFonts w:ascii="Times New Roman"/>
          <w:b w:val="false"/>
          <w:i w:val="false"/>
          <w:color w:val="000000"/>
          <w:sz w:val="28"/>
        </w:rPr>
        <w:t xml:space="preserve">
      13. План мониторинга представляется в уполномоченный орган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Правилами.</w:t>
      </w:r>
    </w:p>
    <w:bookmarkEnd w:id="65"/>
    <w:bookmarkStart w:name="z59" w:id="66"/>
    <w:p>
      <w:pPr>
        <w:spacing w:after="0"/>
        <w:ind w:left="0"/>
        <w:jc w:val="both"/>
      </w:pPr>
      <w:r>
        <w:rPr>
          <w:rFonts w:ascii="Times New Roman"/>
          <w:b w:val="false"/>
          <w:i w:val="false"/>
          <w:color w:val="000000"/>
          <w:sz w:val="28"/>
        </w:rPr>
        <w:t>
      14. Рассмотрение и одобрение углеродных офсетов проводится уполномоченным органом в одну или две стадии.</w:t>
      </w:r>
    </w:p>
    <w:bookmarkEnd w:id="66"/>
    <w:bookmarkStart w:name="z60" w:id="67"/>
    <w:p>
      <w:pPr>
        <w:spacing w:after="0"/>
        <w:ind w:left="0"/>
        <w:jc w:val="both"/>
      </w:pPr>
      <w:r>
        <w:rPr>
          <w:rFonts w:ascii="Times New Roman"/>
          <w:b w:val="false"/>
          <w:i w:val="false"/>
          <w:color w:val="000000"/>
          <w:sz w:val="28"/>
        </w:rPr>
        <w:t>
      15. Одностадийная процедура рассмотрения применяется к следующим маломасштабным проектам:</w:t>
      </w:r>
    </w:p>
    <w:bookmarkEnd w:id="67"/>
    <w:bookmarkStart w:name="z61" w:id="68"/>
    <w:p>
      <w:pPr>
        <w:spacing w:after="0"/>
        <w:ind w:left="0"/>
        <w:jc w:val="both"/>
      </w:pPr>
      <w:r>
        <w:rPr>
          <w:rFonts w:ascii="Times New Roman"/>
          <w:b w:val="false"/>
          <w:i w:val="false"/>
          <w:color w:val="000000"/>
          <w:sz w:val="28"/>
        </w:rPr>
        <w:t>
      1) проекты по использованию ветровой энергии;</w:t>
      </w:r>
    </w:p>
    <w:bookmarkEnd w:id="68"/>
    <w:bookmarkStart w:name="z62" w:id="69"/>
    <w:p>
      <w:pPr>
        <w:spacing w:after="0"/>
        <w:ind w:left="0"/>
        <w:jc w:val="both"/>
      </w:pPr>
      <w:r>
        <w:rPr>
          <w:rFonts w:ascii="Times New Roman"/>
          <w:b w:val="false"/>
          <w:i w:val="false"/>
          <w:color w:val="000000"/>
          <w:sz w:val="28"/>
        </w:rPr>
        <w:t>
      2) проекты по использованию солнечной энергии;</w:t>
      </w:r>
    </w:p>
    <w:bookmarkEnd w:id="69"/>
    <w:bookmarkStart w:name="z63" w:id="70"/>
    <w:p>
      <w:pPr>
        <w:spacing w:after="0"/>
        <w:ind w:left="0"/>
        <w:jc w:val="both"/>
      </w:pPr>
      <w:r>
        <w:rPr>
          <w:rFonts w:ascii="Times New Roman"/>
          <w:b w:val="false"/>
          <w:i w:val="false"/>
          <w:color w:val="000000"/>
          <w:sz w:val="28"/>
        </w:rPr>
        <w:t>
      3) восстановление и строительство малых гидроэлектростанций;</w:t>
      </w:r>
    </w:p>
    <w:bookmarkEnd w:id="70"/>
    <w:bookmarkStart w:name="z64" w:id="71"/>
    <w:p>
      <w:pPr>
        <w:spacing w:after="0"/>
        <w:ind w:left="0"/>
        <w:jc w:val="both"/>
      </w:pPr>
      <w:r>
        <w:rPr>
          <w:rFonts w:ascii="Times New Roman"/>
          <w:b w:val="false"/>
          <w:i w:val="false"/>
          <w:color w:val="000000"/>
          <w:sz w:val="28"/>
        </w:rPr>
        <w:t>
      4) проекты по использованию биогаза;</w:t>
      </w:r>
    </w:p>
    <w:bookmarkEnd w:id="71"/>
    <w:bookmarkStart w:name="z65" w:id="72"/>
    <w:p>
      <w:pPr>
        <w:spacing w:after="0"/>
        <w:ind w:left="0"/>
        <w:jc w:val="both"/>
      </w:pPr>
      <w:r>
        <w:rPr>
          <w:rFonts w:ascii="Times New Roman"/>
          <w:b w:val="false"/>
          <w:i w:val="false"/>
          <w:color w:val="000000"/>
          <w:sz w:val="28"/>
        </w:rPr>
        <w:t>
      16. При одностадийной процедуре рассмотрения проекта, представления концепции проекта для принятия решения об одобрении проекта не требуется.</w:t>
      </w:r>
    </w:p>
    <w:bookmarkEnd w:id="72"/>
    <w:bookmarkStart w:name="z66" w:id="73"/>
    <w:p>
      <w:pPr>
        <w:spacing w:after="0"/>
        <w:ind w:left="0"/>
        <w:jc w:val="both"/>
      </w:pPr>
      <w:r>
        <w:rPr>
          <w:rFonts w:ascii="Times New Roman"/>
          <w:b w:val="false"/>
          <w:i w:val="false"/>
          <w:color w:val="000000"/>
          <w:sz w:val="28"/>
        </w:rPr>
        <w:t>
      17. При двух стадийной процедуре рассмотрения проекта, заявитель проекта разрабатывает концепцию проекта.</w:t>
      </w:r>
    </w:p>
    <w:bookmarkEnd w:id="73"/>
    <w:bookmarkStart w:name="z67" w:id="74"/>
    <w:p>
      <w:pPr>
        <w:spacing w:after="0"/>
        <w:ind w:left="0"/>
        <w:jc w:val="both"/>
      </w:pPr>
      <w:r>
        <w:rPr>
          <w:rFonts w:ascii="Times New Roman"/>
          <w:b w:val="false"/>
          <w:i w:val="false"/>
          <w:color w:val="000000"/>
          <w:sz w:val="28"/>
        </w:rPr>
        <w:t>
      18. Уполномоченный орган отправляет предоставленную заявителем концепцию проекта на экспертизу оператору системы торговли углеродными единицами.</w:t>
      </w:r>
    </w:p>
    <w:bookmarkEnd w:id="74"/>
    <w:bookmarkStart w:name="z68" w:id="75"/>
    <w:p>
      <w:pPr>
        <w:spacing w:after="0"/>
        <w:ind w:left="0"/>
        <w:jc w:val="both"/>
      </w:pPr>
      <w:r>
        <w:rPr>
          <w:rFonts w:ascii="Times New Roman"/>
          <w:b w:val="false"/>
          <w:i w:val="false"/>
          <w:color w:val="000000"/>
          <w:sz w:val="28"/>
        </w:rPr>
        <w:t>
      19. Экспертиза одобрения углеродных офсетов осуществляется оператором системы торговли углеродными единицами.</w:t>
      </w:r>
    </w:p>
    <w:bookmarkEnd w:id="75"/>
    <w:bookmarkStart w:name="z69" w:id="76"/>
    <w:p>
      <w:pPr>
        <w:spacing w:after="0"/>
        <w:ind w:left="0"/>
        <w:jc w:val="both"/>
      </w:pPr>
      <w:r>
        <w:rPr>
          <w:rFonts w:ascii="Times New Roman"/>
          <w:b w:val="false"/>
          <w:i w:val="false"/>
          <w:color w:val="000000"/>
          <w:sz w:val="28"/>
        </w:rPr>
        <w:t>
      20. Решение об одобрении концепции проекта принимается уполномоченным органом на основании экспертного заключения оператора системы торговли углеродными единицами.</w:t>
      </w:r>
    </w:p>
    <w:bookmarkEnd w:id="76"/>
    <w:bookmarkStart w:name="z70" w:id="77"/>
    <w:p>
      <w:pPr>
        <w:spacing w:after="0"/>
        <w:ind w:left="0"/>
        <w:jc w:val="both"/>
      </w:pPr>
      <w:r>
        <w:rPr>
          <w:rFonts w:ascii="Times New Roman"/>
          <w:b w:val="false"/>
          <w:i w:val="false"/>
          <w:color w:val="000000"/>
          <w:sz w:val="28"/>
        </w:rPr>
        <w:t>
      21. Решение по представленной на рассмотрение концепции проекта принимается уполномоченным органом в течение двадцати календарных дней с даты ее получения.</w:t>
      </w:r>
    </w:p>
    <w:bookmarkEnd w:id="77"/>
    <w:bookmarkStart w:name="z71" w:id="78"/>
    <w:p>
      <w:pPr>
        <w:spacing w:after="0"/>
        <w:ind w:left="0"/>
        <w:jc w:val="both"/>
      </w:pPr>
      <w:r>
        <w:rPr>
          <w:rFonts w:ascii="Times New Roman"/>
          <w:b w:val="false"/>
          <w:i w:val="false"/>
          <w:color w:val="000000"/>
          <w:sz w:val="28"/>
        </w:rPr>
        <w:t>
      22. В случае одобрения концепции проекта, заявитель проекта разрабатывает проектную документацию и план мониторинга для их последующей подачи на рассмотрение уполномоченного органа.</w:t>
      </w:r>
    </w:p>
    <w:bookmarkEnd w:id="78"/>
    <w:bookmarkStart w:name="z208" w:id="79"/>
    <w:p>
      <w:pPr>
        <w:spacing w:after="0"/>
        <w:ind w:left="0"/>
        <w:jc w:val="both"/>
      </w:pPr>
      <w:r>
        <w:rPr>
          <w:rFonts w:ascii="Times New Roman"/>
          <w:b w:val="false"/>
          <w:i w:val="false"/>
          <w:color w:val="000000"/>
          <w:sz w:val="28"/>
        </w:rPr>
        <w:t xml:space="preserve">
      22-1. После получения одобрения концепции проекта углеродного офсета, реализуемого на землях государственного лесного фонда, заявитель в течение пятнадцати рабочих дней заключает договор на реализацию проектов углеродных офсетов на участках государственного лесного фонда с лесовладельцем по установленной типовой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разрабатывает рабочий проект по лесоразведению с учетом конкретных характеристик каждого участка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воспроизводства лесов и лесоразведения и контроля за их качеством, утвержденных приказом Министра сельского хозяйства Республики Казахстан от 22 декабря 2014 года № 18-02/681 (зарегистрирован в Реестре государственной регистрации нормативных правовых актов за № 10119), для их последующей подачи.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80"/>
    <w:p>
      <w:pPr>
        <w:spacing w:after="0"/>
        <w:ind w:left="0"/>
        <w:jc w:val="both"/>
      </w:pPr>
      <w:r>
        <w:rPr>
          <w:rFonts w:ascii="Times New Roman"/>
          <w:b w:val="false"/>
          <w:i w:val="false"/>
          <w:color w:val="000000"/>
          <w:sz w:val="28"/>
        </w:rPr>
        <w:t>
      22-2. После заключения договора, указанного в пункте 22-1 настоящих Правил заявитель разрабатывает проектную документацию и план мониторинга, которые подлежат валидации аккредитованным органом.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22-2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81"/>
    <w:p>
      <w:pPr>
        <w:spacing w:after="0"/>
        <w:ind w:left="0"/>
        <w:jc w:val="both"/>
      </w:pPr>
      <w:r>
        <w:rPr>
          <w:rFonts w:ascii="Times New Roman"/>
          <w:b w:val="false"/>
          <w:i w:val="false"/>
          <w:color w:val="000000"/>
          <w:sz w:val="28"/>
        </w:rPr>
        <w:t>
      22-3. После завершения валидации проектной документации и плана мониторинга, заявитель направляет заключенный договор, валидированную проектную документацию и план мониторинга в уполномоченный орган для получения одобрения.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22-3 в соответствии с приказом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72" w:id="82"/>
    <w:p>
      <w:pPr>
        <w:spacing w:after="0"/>
        <w:ind w:left="0"/>
        <w:jc w:val="both"/>
      </w:pPr>
      <w:r>
        <w:rPr>
          <w:rFonts w:ascii="Times New Roman"/>
          <w:b w:val="false"/>
          <w:i w:val="false"/>
          <w:color w:val="000000"/>
          <w:sz w:val="28"/>
        </w:rPr>
        <w:t>
      23. Решение по представленным на рассмотрение проектной документации и плану мониторинга принимается уполномоченным органом в течение тридцати календарных дней с даты их получения.</w:t>
      </w:r>
    </w:p>
    <w:bookmarkEnd w:id="82"/>
    <w:bookmarkStart w:name="z73" w:id="83"/>
    <w:p>
      <w:pPr>
        <w:spacing w:after="0"/>
        <w:ind w:left="0"/>
        <w:jc w:val="both"/>
      </w:pPr>
      <w:r>
        <w:rPr>
          <w:rFonts w:ascii="Times New Roman"/>
          <w:b w:val="false"/>
          <w:i w:val="false"/>
          <w:color w:val="000000"/>
          <w:sz w:val="28"/>
        </w:rPr>
        <w:t>
      24. Не позднее чем за двадцать календарных дней до подачи проектной документации и плана мониторинга на рассмотрение уполномоченного органа, заявитель проекта обеспечивает общественный доступ к проектной документации, а также к плану мониторинга с целью предоставления возможностей обсуждения проекта заинтересованными сторонами.</w:t>
      </w:r>
    </w:p>
    <w:bookmarkEnd w:id="83"/>
    <w:bookmarkStart w:name="z74" w:id="84"/>
    <w:p>
      <w:pPr>
        <w:spacing w:after="0"/>
        <w:ind w:left="0"/>
        <w:jc w:val="both"/>
      </w:pPr>
      <w:r>
        <w:rPr>
          <w:rFonts w:ascii="Times New Roman"/>
          <w:b w:val="false"/>
          <w:i w:val="false"/>
          <w:color w:val="000000"/>
          <w:sz w:val="28"/>
        </w:rPr>
        <w:t>
      25. Результаты общественного обсуждения углеродного офсета отражаются в проектной документации.</w:t>
      </w:r>
    </w:p>
    <w:bookmarkEnd w:id="84"/>
    <w:bookmarkStart w:name="z75" w:id="85"/>
    <w:p>
      <w:pPr>
        <w:spacing w:after="0"/>
        <w:ind w:left="0"/>
        <w:jc w:val="both"/>
      </w:pPr>
      <w:r>
        <w:rPr>
          <w:rFonts w:ascii="Times New Roman"/>
          <w:b w:val="false"/>
          <w:i w:val="false"/>
          <w:color w:val="000000"/>
          <w:sz w:val="28"/>
        </w:rPr>
        <w:t>
      26. Проектная документация и план мониторинга представляются в уполномоченный орган после валидации аккредитованным органом.</w:t>
      </w:r>
    </w:p>
    <w:bookmarkEnd w:id="85"/>
    <w:bookmarkStart w:name="z76" w:id="86"/>
    <w:p>
      <w:pPr>
        <w:spacing w:after="0"/>
        <w:ind w:left="0"/>
        <w:jc w:val="both"/>
      </w:pPr>
      <w:r>
        <w:rPr>
          <w:rFonts w:ascii="Times New Roman"/>
          <w:b w:val="false"/>
          <w:i w:val="false"/>
          <w:color w:val="000000"/>
          <w:sz w:val="28"/>
        </w:rPr>
        <w:t>
      27. Решение об одобрении углеродного офсета принимается уполномоченным органом на основании экспертного заключения оператора системы торговли углеродными единицами.</w:t>
      </w:r>
    </w:p>
    <w:bookmarkEnd w:id="86"/>
    <w:bookmarkStart w:name="z77" w:id="87"/>
    <w:p>
      <w:pPr>
        <w:spacing w:after="0"/>
        <w:ind w:left="0"/>
        <w:jc w:val="both"/>
      </w:pPr>
      <w:r>
        <w:rPr>
          <w:rFonts w:ascii="Times New Roman"/>
          <w:b w:val="false"/>
          <w:i w:val="false"/>
          <w:color w:val="000000"/>
          <w:sz w:val="28"/>
        </w:rPr>
        <w:t>
      28. Отрицательное решение по проекту принимается уполномоченным органом в следующих случаях:</w:t>
      </w:r>
    </w:p>
    <w:bookmarkEnd w:id="87"/>
    <w:bookmarkStart w:name="z78" w:id="88"/>
    <w:p>
      <w:pPr>
        <w:spacing w:after="0"/>
        <w:ind w:left="0"/>
        <w:jc w:val="both"/>
      </w:pPr>
      <w:r>
        <w:rPr>
          <w:rFonts w:ascii="Times New Roman"/>
          <w:b w:val="false"/>
          <w:i w:val="false"/>
          <w:color w:val="000000"/>
          <w:sz w:val="28"/>
        </w:rPr>
        <w:t xml:space="preserve">
      1) представленные заявителем проекта документы, не соответствуют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(далее – Кодекс) и (или) настоящих Правил либо содержат недостоверные сведения;</w:t>
      </w:r>
    </w:p>
    <w:bookmarkEnd w:id="88"/>
    <w:bookmarkStart w:name="z79" w:id="89"/>
    <w:p>
      <w:pPr>
        <w:spacing w:after="0"/>
        <w:ind w:left="0"/>
        <w:jc w:val="both"/>
      </w:pPr>
      <w:r>
        <w:rPr>
          <w:rFonts w:ascii="Times New Roman"/>
          <w:b w:val="false"/>
          <w:i w:val="false"/>
          <w:color w:val="000000"/>
          <w:sz w:val="28"/>
        </w:rPr>
        <w:t>
      2) отсутствие возможностей для реализации углеродного офсета по месту расположения, указанному в проектной документации.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0"/>
    <w:p>
      <w:pPr>
        <w:spacing w:after="0"/>
        <w:ind w:left="0"/>
        <w:jc w:val="both"/>
      </w:pPr>
      <w:r>
        <w:rPr>
          <w:rFonts w:ascii="Times New Roman"/>
          <w:b w:val="false"/>
          <w:i w:val="false"/>
          <w:color w:val="000000"/>
          <w:sz w:val="28"/>
        </w:rPr>
        <w:t>
      29. Одобрение углеродного офсета уполномоченным органом является основанием для последующей реализации проекта и получения офсетных единиц в установленном настоящими Правилами порядке.</w:t>
      </w:r>
    </w:p>
    <w:bookmarkEnd w:id="90"/>
    <w:bookmarkStart w:name="z81" w:id="91"/>
    <w:p>
      <w:pPr>
        <w:spacing w:after="0"/>
        <w:ind w:left="0"/>
        <w:jc w:val="both"/>
      </w:pPr>
      <w:r>
        <w:rPr>
          <w:rFonts w:ascii="Times New Roman"/>
          <w:b w:val="false"/>
          <w:i w:val="false"/>
          <w:color w:val="000000"/>
          <w:sz w:val="28"/>
        </w:rPr>
        <w:t>
      30. Учет офсетных единиц осуществляется путем введения в обращение офсетных единиц оператором системы торговли углеродными единицами посредством их зачисления на счет заявителя проекта в государственном реестре углеродных единиц, в объеме сокращения выбросов парниковых газов и (или) увеличения поглощения согласно отчету о реализации углеродного офсета, утвержденному уполномоченным органом.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редакции приказа Министра экологии и природных ресурсов РК от 30.09.2025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92"/>
    <w:p>
      <w:pPr>
        <w:spacing w:after="0"/>
        <w:ind w:left="0"/>
        <w:jc w:val="both"/>
      </w:pPr>
      <w:r>
        <w:rPr>
          <w:rFonts w:ascii="Times New Roman"/>
          <w:b w:val="false"/>
          <w:i w:val="false"/>
          <w:color w:val="000000"/>
          <w:sz w:val="28"/>
        </w:rPr>
        <w:t>
      31. Информация об одобренных углеродных офсетах размещается на интернет-ресурсе уполномоченного органа с указанием следующих сведений:</w:t>
      </w:r>
    </w:p>
    <w:bookmarkEnd w:id="92"/>
    <w:bookmarkStart w:name="z83" w:id="93"/>
    <w:p>
      <w:pPr>
        <w:spacing w:after="0"/>
        <w:ind w:left="0"/>
        <w:jc w:val="both"/>
      </w:pPr>
      <w:r>
        <w:rPr>
          <w:rFonts w:ascii="Times New Roman"/>
          <w:b w:val="false"/>
          <w:i w:val="false"/>
          <w:color w:val="000000"/>
          <w:sz w:val="28"/>
        </w:rPr>
        <w:t>
      1) наименование углеродного офсета;</w:t>
      </w:r>
    </w:p>
    <w:bookmarkEnd w:id="93"/>
    <w:bookmarkStart w:name="z84" w:id="94"/>
    <w:p>
      <w:pPr>
        <w:spacing w:after="0"/>
        <w:ind w:left="0"/>
        <w:jc w:val="both"/>
      </w:pPr>
      <w:r>
        <w:rPr>
          <w:rFonts w:ascii="Times New Roman"/>
          <w:b w:val="false"/>
          <w:i w:val="false"/>
          <w:color w:val="000000"/>
          <w:sz w:val="28"/>
        </w:rPr>
        <w:t>
      2) сведения о заявителе проекта;</w:t>
      </w:r>
    </w:p>
    <w:bookmarkEnd w:id="94"/>
    <w:bookmarkStart w:name="z85" w:id="95"/>
    <w:p>
      <w:pPr>
        <w:spacing w:after="0"/>
        <w:ind w:left="0"/>
        <w:jc w:val="both"/>
      </w:pPr>
      <w:r>
        <w:rPr>
          <w:rFonts w:ascii="Times New Roman"/>
          <w:b w:val="false"/>
          <w:i w:val="false"/>
          <w:color w:val="000000"/>
          <w:sz w:val="28"/>
        </w:rPr>
        <w:t>
      3) место расположения, на котором предполагается реализация углеродного офсета;</w:t>
      </w:r>
    </w:p>
    <w:bookmarkEnd w:id="95"/>
    <w:bookmarkStart w:name="z86" w:id="96"/>
    <w:p>
      <w:pPr>
        <w:spacing w:after="0"/>
        <w:ind w:left="0"/>
        <w:jc w:val="both"/>
      </w:pPr>
      <w:r>
        <w:rPr>
          <w:rFonts w:ascii="Times New Roman"/>
          <w:b w:val="false"/>
          <w:i w:val="false"/>
          <w:color w:val="000000"/>
          <w:sz w:val="28"/>
        </w:rPr>
        <w:t>
      4) заявленный по проекту объем сокращения выбросов и (или) увеличения поглощения парниковых газов;</w:t>
      </w:r>
    </w:p>
    <w:bookmarkEnd w:id="96"/>
    <w:bookmarkStart w:name="z87" w:id="97"/>
    <w:p>
      <w:pPr>
        <w:spacing w:after="0"/>
        <w:ind w:left="0"/>
        <w:jc w:val="both"/>
      </w:pPr>
      <w:r>
        <w:rPr>
          <w:rFonts w:ascii="Times New Roman"/>
          <w:b w:val="false"/>
          <w:i w:val="false"/>
          <w:color w:val="000000"/>
          <w:sz w:val="28"/>
        </w:rPr>
        <w:t>
      5) количество офсетных единиц, предоставленных на основании отчетов о реализации углеродного офсета.</w:t>
      </w:r>
    </w:p>
    <w:bookmarkEnd w:id="97"/>
    <w:bookmarkStart w:name="z88" w:id="98"/>
    <w:p>
      <w:pPr>
        <w:spacing w:after="0"/>
        <w:ind w:left="0"/>
        <w:jc w:val="left"/>
      </w:pPr>
      <w:r>
        <w:rPr>
          <w:rFonts w:ascii="Times New Roman"/>
          <w:b/>
          <w:i w:val="false"/>
          <w:color w:val="000000"/>
        </w:rPr>
        <w:t xml:space="preserve"> Глава 3. Порядок предоставления офсетных единиц</w:t>
      </w:r>
    </w:p>
    <w:bookmarkEnd w:id="98"/>
    <w:bookmarkStart w:name="z89" w:id="99"/>
    <w:p>
      <w:pPr>
        <w:spacing w:after="0"/>
        <w:ind w:left="0"/>
        <w:jc w:val="both"/>
      </w:pPr>
      <w:r>
        <w:rPr>
          <w:rFonts w:ascii="Times New Roman"/>
          <w:b w:val="false"/>
          <w:i w:val="false"/>
          <w:color w:val="000000"/>
          <w:sz w:val="28"/>
        </w:rPr>
        <w:t>
      32. Основанием для предоставления заявителю проекта офсетных единиц по одобренным углеродным офсетам в течение периода их реализации является отчет о реализации углеродного офсета, утвержденный уполномоченным органом.</w:t>
      </w:r>
    </w:p>
    <w:bookmarkEnd w:id="99"/>
    <w:bookmarkStart w:name="z90" w:id="100"/>
    <w:p>
      <w:pPr>
        <w:spacing w:after="0"/>
        <w:ind w:left="0"/>
        <w:jc w:val="both"/>
      </w:pPr>
      <w:r>
        <w:rPr>
          <w:rFonts w:ascii="Times New Roman"/>
          <w:b w:val="false"/>
          <w:i w:val="false"/>
          <w:color w:val="000000"/>
          <w:sz w:val="28"/>
        </w:rPr>
        <w:t>
      33. Для подготовки отчета о реализации углеродного офсета, заявителем проекта проводится мониторинг сокращения выбросов парниковых газов и (или) увеличения поглощения парниковых газов.</w:t>
      </w:r>
    </w:p>
    <w:bookmarkEnd w:id="100"/>
    <w:bookmarkStart w:name="z91" w:id="101"/>
    <w:p>
      <w:pPr>
        <w:spacing w:after="0"/>
        <w:ind w:left="0"/>
        <w:jc w:val="both"/>
      </w:pPr>
      <w:r>
        <w:rPr>
          <w:rFonts w:ascii="Times New Roman"/>
          <w:b w:val="false"/>
          <w:i w:val="false"/>
          <w:color w:val="000000"/>
          <w:sz w:val="28"/>
        </w:rPr>
        <w:t>
      34. Мониторинг сокращения выбросов парниковых газов и (или) увеличения их поглощения проводится в течение всего периода предоставления офсетных единиц по проекту на основе плана мониторинга, одобренного уполномоченным органом.</w:t>
      </w:r>
    </w:p>
    <w:bookmarkEnd w:id="101"/>
    <w:bookmarkStart w:name="z92" w:id="102"/>
    <w:p>
      <w:pPr>
        <w:spacing w:after="0"/>
        <w:ind w:left="0"/>
        <w:jc w:val="both"/>
      </w:pPr>
      <w:r>
        <w:rPr>
          <w:rFonts w:ascii="Times New Roman"/>
          <w:b w:val="false"/>
          <w:i w:val="false"/>
          <w:color w:val="000000"/>
          <w:sz w:val="28"/>
        </w:rPr>
        <w:t>
      35. В рамках проведения мониторинга проводится количественная оценка по каждому из парниковых газов, на сокращение выбросов или увеличение поглощения, которых направлен проект, с последующим их пересчетом в эквивалент тонны диоксида углерода.</w:t>
      </w:r>
    </w:p>
    <w:bookmarkEnd w:id="102"/>
    <w:bookmarkStart w:name="z93" w:id="103"/>
    <w:p>
      <w:pPr>
        <w:spacing w:after="0"/>
        <w:ind w:left="0"/>
        <w:jc w:val="both"/>
      </w:pPr>
      <w:r>
        <w:rPr>
          <w:rFonts w:ascii="Times New Roman"/>
          <w:b w:val="false"/>
          <w:i w:val="false"/>
          <w:color w:val="000000"/>
          <w:sz w:val="28"/>
        </w:rPr>
        <w:t>
      36. При использовании измерительного оборудования и оборудования для проведения мониторинга заявитель проекта обеспечивает калибровку данного измерительного оборудования в соответствии с законодательством Республики Казахстан об обеспечении единства измерений.</w:t>
      </w:r>
    </w:p>
    <w:bookmarkEnd w:id="103"/>
    <w:bookmarkStart w:name="z94" w:id="104"/>
    <w:p>
      <w:pPr>
        <w:spacing w:after="0"/>
        <w:ind w:left="0"/>
        <w:jc w:val="both"/>
      </w:pPr>
      <w:r>
        <w:rPr>
          <w:rFonts w:ascii="Times New Roman"/>
          <w:b w:val="false"/>
          <w:i w:val="false"/>
          <w:color w:val="000000"/>
          <w:sz w:val="28"/>
        </w:rPr>
        <w:t>
      37. Подготовка и представление в уполномоченный орган отчета о реализации углеродного офсета осуществляются заявителем проекта.</w:t>
      </w:r>
    </w:p>
    <w:bookmarkEnd w:id="104"/>
    <w:bookmarkStart w:name="z95" w:id="105"/>
    <w:p>
      <w:pPr>
        <w:spacing w:after="0"/>
        <w:ind w:left="0"/>
        <w:jc w:val="both"/>
      </w:pPr>
      <w:r>
        <w:rPr>
          <w:rFonts w:ascii="Times New Roman"/>
          <w:b w:val="false"/>
          <w:i w:val="false"/>
          <w:color w:val="000000"/>
          <w:sz w:val="28"/>
        </w:rPr>
        <w:t xml:space="preserve">
      38. Отчет о реализации углеродного офсета предоставляется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5"/>
    <w:bookmarkStart w:name="z96" w:id="106"/>
    <w:p>
      <w:pPr>
        <w:spacing w:after="0"/>
        <w:ind w:left="0"/>
        <w:jc w:val="both"/>
      </w:pPr>
      <w:r>
        <w:rPr>
          <w:rFonts w:ascii="Times New Roman"/>
          <w:b w:val="false"/>
          <w:i w:val="false"/>
          <w:color w:val="000000"/>
          <w:sz w:val="28"/>
        </w:rPr>
        <w:t>
      39. Подача отчетов о реализации углеродного офсета является добровольной. Непредставление или несвоевременное предоставление такого отчета не рассматривается в качестве нарушения заявителем проекта.</w:t>
      </w:r>
    </w:p>
    <w:bookmarkEnd w:id="106"/>
    <w:bookmarkStart w:name="z97" w:id="107"/>
    <w:p>
      <w:pPr>
        <w:spacing w:after="0"/>
        <w:ind w:left="0"/>
        <w:jc w:val="both"/>
      </w:pPr>
      <w:r>
        <w:rPr>
          <w:rFonts w:ascii="Times New Roman"/>
          <w:b w:val="false"/>
          <w:i w:val="false"/>
          <w:color w:val="000000"/>
          <w:sz w:val="28"/>
        </w:rPr>
        <w:t>
      40. Отчет о реализации углеродного офсета, представленный заявителем проекта уполномоченному органу, направляется на экспертизу оператору системы торговли углеродными единицами.</w:t>
      </w:r>
    </w:p>
    <w:bookmarkEnd w:id="107"/>
    <w:bookmarkStart w:name="z98" w:id="108"/>
    <w:p>
      <w:pPr>
        <w:spacing w:after="0"/>
        <w:ind w:left="0"/>
        <w:jc w:val="both"/>
      </w:pPr>
      <w:r>
        <w:rPr>
          <w:rFonts w:ascii="Times New Roman"/>
          <w:b w:val="false"/>
          <w:i w:val="false"/>
          <w:color w:val="000000"/>
          <w:sz w:val="28"/>
        </w:rPr>
        <w:t>
      41. Решение об утверждении отчета о реализации углеродного офсета принимается уполномоченным органом на основании экспертного заключения оператора системы торговли углеродными единицами.</w:t>
      </w:r>
    </w:p>
    <w:bookmarkEnd w:id="108"/>
    <w:bookmarkStart w:name="z99" w:id="109"/>
    <w:p>
      <w:pPr>
        <w:spacing w:after="0"/>
        <w:ind w:left="0"/>
        <w:jc w:val="both"/>
      </w:pPr>
      <w:r>
        <w:rPr>
          <w:rFonts w:ascii="Times New Roman"/>
          <w:b w:val="false"/>
          <w:i w:val="false"/>
          <w:color w:val="000000"/>
          <w:sz w:val="28"/>
        </w:rPr>
        <w:t>
      42. Уполномоченный орган принимает решение об утверждении либо об отказе в утверждении отчета о реализации углеродного офсета в течение пятнадцати рабочих дней со дня его получения.</w:t>
      </w:r>
    </w:p>
    <w:bookmarkEnd w:id="109"/>
    <w:bookmarkStart w:name="z100" w:id="110"/>
    <w:p>
      <w:pPr>
        <w:spacing w:after="0"/>
        <w:ind w:left="0"/>
        <w:jc w:val="both"/>
      </w:pPr>
      <w:r>
        <w:rPr>
          <w:rFonts w:ascii="Times New Roman"/>
          <w:b w:val="false"/>
          <w:i w:val="false"/>
          <w:color w:val="000000"/>
          <w:sz w:val="28"/>
        </w:rPr>
        <w:t>
      43. Уполномоченный орган принимает решение об отказе в утверждении отчета о реализации углеродного офсета по следующим основаниям:</w:t>
      </w:r>
    </w:p>
    <w:bookmarkEnd w:id="110"/>
    <w:bookmarkStart w:name="z101" w:id="111"/>
    <w:p>
      <w:pPr>
        <w:spacing w:after="0"/>
        <w:ind w:left="0"/>
        <w:jc w:val="both"/>
      </w:pPr>
      <w:r>
        <w:rPr>
          <w:rFonts w:ascii="Times New Roman"/>
          <w:b w:val="false"/>
          <w:i w:val="false"/>
          <w:color w:val="000000"/>
          <w:sz w:val="28"/>
        </w:rPr>
        <w:t>
      1) отрицательное заключение оператора системы торговли углеродными единицами;</w:t>
      </w:r>
    </w:p>
    <w:bookmarkEnd w:id="111"/>
    <w:bookmarkStart w:name="z102" w:id="112"/>
    <w:p>
      <w:pPr>
        <w:spacing w:after="0"/>
        <w:ind w:left="0"/>
        <w:jc w:val="both"/>
      </w:pPr>
      <w:r>
        <w:rPr>
          <w:rFonts w:ascii="Times New Roman"/>
          <w:b w:val="false"/>
          <w:i w:val="false"/>
          <w:color w:val="000000"/>
          <w:sz w:val="28"/>
        </w:rPr>
        <w:t>
      2) выявление несоблюдения заявителем проекта требований, установленных в Кодексе и (или) настоящих Правилах;</w:t>
      </w:r>
    </w:p>
    <w:bookmarkEnd w:id="112"/>
    <w:bookmarkStart w:name="z103" w:id="113"/>
    <w:p>
      <w:pPr>
        <w:spacing w:after="0"/>
        <w:ind w:left="0"/>
        <w:jc w:val="both"/>
      </w:pPr>
      <w:r>
        <w:rPr>
          <w:rFonts w:ascii="Times New Roman"/>
          <w:b w:val="false"/>
          <w:i w:val="false"/>
          <w:color w:val="000000"/>
          <w:sz w:val="28"/>
        </w:rPr>
        <w:t>
      3) отсутствие верификации.</w:t>
      </w:r>
    </w:p>
    <w:bookmarkEnd w:id="113"/>
    <w:bookmarkStart w:name="z104" w:id="114"/>
    <w:p>
      <w:pPr>
        <w:spacing w:after="0"/>
        <w:ind w:left="0"/>
        <w:jc w:val="both"/>
      </w:pPr>
      <w:r>
        <w:rPr>
          <w:rFonts w:ascii="Times New Roman"/>
          <w:b w:val="false"/>
          <w:i w:val="false"/>
          <w:color w:val="000000"/>
          <w:sz w:val="28"/>
        </w:rPr>
        <w:t>
      44. В случае утверждения отчета о реализации углеродного офсета, заявитель проекта приобретает право на получение офсетных единиц в количестве заявленном в утвержденном отчете о реализации углеродного офсета.</w:t>
      </w:r>
    </w:p>
    <w:bookmarkEnd w:id="114"/>
    <w:bookmarkStart w:name="z105" w:id="115"/>
    <w:p>
      <w:pPr>
        <w:spacing w:after="0"/>
        <w:ind w:left="0"/>
        <w:jc w:val="both"/>
      </w:pPr>
      <w:r>
        <w:rPr>
          <w:rFonts w:ascii="Times New Roman"/>
          <w:b w:val="false"/>
          <w:i w:val="false"/>
          <w:color w:val="000000"/>
          <w:sz w:val="28"/>
        </w:rPr>
        <w:t>
      45. Предоставление и введение в обращение офсетных единиц производится оператором системы торговли углеродными единицами посредством их размещения на счету заявителя проекта в государственном реестре углеродных единиц, в объеме сокращения выбросов парниковых газов и (или) увеличения поглощения согласно отчету о реализации углеродного офсета, утвержденному уполномоченным органом.</w:t>
      </w:r>
    </w:p>
    <w:bookmarkEnd w:id="115"/>
    <w:bookmarkStart w:name="z106" w:id="116"/>
    <w:p>
      <w:pPr>
        <w:spacing w:after="0"/>
        <w:ind w:left="0"/>
        <w:jc w:val="both"/>
      </w:pPr>
      <w:r>
        <w:rPr>
          <w:rFonts w:ascii="Times New Roman"/>
          <w:b w:val="false"/>
          <w:i w:val="false"/>
          <w:color w:val="000000"/>
          <w:sz w:val="28"/>
        </w:rPr>
        <w:t>
      46. Добровольное аннулирование офсетных единиц производится по запросу их владельца, направленного оператору системы торговли углеродными единицами.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17"/>
    <w:p>
      <w:pPr>
        <w:spacing w:after="0"/>
        <w:ind w:left="0"/>
        <w:jc w:val="left"/>
      </w:pPr>
      <w:r>
        <w:rPr>
          <w:rFonts w:ascii="Times New Roman"/>
          <w:b/>
          <w:i w:val="false"/>
          <w:color w:val="000000"/>
        </w:rPr>
        <w:t xml:space="preserve"> Концепция проекта (проектная идея)</w:t>
      </w:r>
    </w:p>
    <w:bookmarkEnd w:id="117"/>
    <w:bookmarkStart w:name="z110" w:id="118"/>
    <w:p>
      <w:pPr>
        <w:spacing w:after="0"/>
        <w:ind w:left="0"/>
        <w:jc w:val="both"/>
      </w:pPr>
      <w:r>
        <w:rPr>
          <w:rFonts w:ascii="Times New Roman"/>
          <w:b w:val="false"/>
          <w:i w:val="false"/>
          <w:color w:val="000000"/>
          <w:sz w:val="28"/>
        </w:rPr>
        <w:t>
      1. Краткое описание проекта: название, цель, тип проекта, предполагаемое место реализации, краткое описание проекта и предлагаемые меры.</w:t>
      </w:r>
    </w:p>
    <w:bookmarkEnd w:id="118"/>
    <w:bookmarkStart w:name="z111" w:id="119"/>
    <w:p>
      <w:pPr>
        <w:spacing w:after="0"/>
        <w:ind w:left="0"/>
        <w:jc w:val="both"/>
      </w:pPr>
      <w:r>
        <w:rPr>
          <w:rFonts w:ascii="Times New Roman"/>
          <w:b w:val="false"/>
          <w:i w:val="false"/>
          <w:color w:val="000000"/>
          <w:sz w:val="28"/>
        </w:rPr>
        <w:t>
      2. Информация о заявителе проекта: фамилия, имя, отчество (при его наличии) физического лица или наименование юридического лица, регистрационные данные, адрес, контактное лицо по проекту, основной вид деятельности.</w:t>
      </w:r>
    </w:p>
    <w:bookmarkEnd w:id="119"/>
    <w:bookmarkStart w:name="z112" w:id="120"/>
    <w:p>
      <w:pPr>
        <w:spacing w:after="0"/>
        <w:ind w:left="0"/>
        <w:jc w:val="both"/>
      </w:pPr>
      <w:r>
        <w:rPr>
          <w:rFonts w:ascii="Times New Roman"/>
          <w:b w:val="false"/>
          <w:i w:val="false"/>
          <w:color w:val="000000"/>
          <w:sz w:val="28"/>
        </w:rPr>
        <w:t>
      3. Описание базового сценария существующего до выполнения проекта: наиболее вероятная технология и уровень выбросов, которые имели бы место в отсутствие предлагаемого проекта; существующие законодательные, экономические и иные условия.</w:t>
      </w:r>
    </w:p>
    <w:bookmarkEnd w:id="120"/>
    <w:bookmarkStart w:name="z113" w:id="121"/>
    <w:p>
      <w:pPr>
        <w:spacing w:after="0"/>
        <w:ind w:left="0"/>
        <w:jc w:val="both"/>
      </w:pPr>
      <w:r>
        <w:rPr>
          <w:rFonts w:ascii="Times New Roman"/>
          <w:b w:val="false"/>
          <w:i w:val="false"/>
          <w:color w:val="000000"/>
          <w:sz w:val="28"/>
        </w:rPr>
        <w:t>
      4. Способы сокращения выбросов и (или) увеличения поглощения парниковых газов и финансирование: указание категории деятельности, например, переход на использование возобновляемых источников энергии, меры по энергоэффективности, увеличение лесистости, краткое описание технических аспектов и планируемых технологий; ожидаемые затраты на реализацию проекта.</w:t>
      </w:r>
    </w:p>
    <w:bookmarkEnd w:id="121"/>
    <w:bookmarkStart w:name="z114" w:id="122"/>
    <w:p>
      <w:pPr>
        <w:spacing w:after="0"/>
        <w:ind w:left="0"/>
        <w:jc w:val="both"/>
      </w:pPr>
      <w:r>
        <w:rPr>
          <w:rFonts w:ascii="Times New Roman"/>
          <w:b w:val="false"/>
          <w:i w:val="false"/>
          <w:color w:val="000000"/>
          <w:sz w:val="28"/>
        </w:rPr>
        <w:t>
      5. Ожидаемое сокращение или увеличение поглощения: виды парниковых газов; предварительно оцениваемые объемы сокращений выбросов или увеличения поглощения; ожидаемый период для достижения сокращения или увеличения поглощения.</w:t>
      </w:r>
    </w:p>
    <w:bookmarkEnd w:id="122"/>
    <w:bookmarkStart w:name="z115" w:id="123"/>
    <w:p>
      <w:pPr>
        <w:spacing w:after="0"/>
        <w:ind w:left="0"/>
        <w:jc w:val="both"/>
      </w:pPr>
      <w:r>
        <w:rPr>
          <w:rFonts w:ascii="Times New Roman"/>
          <w:b w:val="false"/>
          <w:i w:val="false"/>
          <w:color w:val="000000"/>
          <w:sz w:val="28"/>
        </w:rPr>
        <w:t>
      6. Риски, связанные с реализацией проекта, в том числе в отношении поиска инвесторов, реализации проекта по планируемому месту реализации, утечек выбросов, которые могут иметь место вследствие осуществления проекта за пределами его границ.</w:t>
      </w:r>
    </w:p>
    <w:bookmarkEnd w:id="123"/>
    <w:bookmarkStart w:name="z116" w:id="124"/>
    <w:p>
      <w:pPr>
        <w:spacing w:after="0"/>
        <w:ind w:left="0"/>
        <w:jc w:val="both"/>
      </w:pPr>
      <w:r>
        <w:rPr>
          <w:rFonts w:ascii="Times New Roman"/>
          <w:b w:val="false"/>
          <w:i w:val="false"/>
          <w:color w:val="000000"/>
          <w:sz w:val="28"/>
        </w:rPr>
        <w:t>
      7. Календарный план выполнения проекта: текущий статус проекта, ожидаемые сроки подготовки проектной документации, начала реализации проекта, продолжительность проекта.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25"/>
    <w:p>
      <w:pPr>
        <w:spacing w:after="0"/>
        <w:ind w:left="0"/>
        <w:jc w:val="left"/>
      </w:pPr>
      <w:r>
        <w:rPr>
          <w:rFonts w:ascii="Times New Roman"/>
          <w:b/>
          <w:i w:val="false"/>
          <w:color w:val="000000"/>
        </w:rPr>
        <w:t xml:space="preserve"> Проектная документация для углеродного офсета по сокращению выбросов парниковых газов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участниках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26"/>
          <w:p>
            <w:pPr>
              <w:spacing w:after="20"/>
              <w:ind w:left="20"/>
              <w:jc w:val="both"/>
            </w:pPr>
            <w:r>
              <w:rPr>
                <w:rFonts w:ascii="Times New Roman"/>
                <w:b w:val="false"/>
                <w:i w:val="false"/>
                <w:color w:val="000000"/>
                <w:sz w:val="20"/>
              </w:rPr>
              <w:t>
1. Наименование заявителя проекта.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Юридический адрес и адрес места нахождения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Основной вид деятельности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государственной регистрации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 имя, отчество (при его наличии) руководителя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Фамилия, имя, отчество (при его наличии), адрес, телефон, факс и адрес электронной почты контактного лица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9. Основной вид деятельности инвестора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7"/>
          <w:p>
            <w:pPr>
              <w:spacing w:after="20"/>
              <w:ind w:left="20"/>
              <w:jc w:val="both"/>
            </w:pPr>
            <w:r>
              <w:rPr>
                <w:rFonts w:ascii="Times New Roman"/>
                <w:b w:val="false"/>
                <w:i w:val="false"/>
                <w:color w:val="000000"/>
                <w:sz w:val="20"/>
              </w:rPr>
              <w:t>
1. Название проекта.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Участники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Техническое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Место расположения проекта (регион, населенный пункт, сведения о географическом расположении проекта, позволяющие однозначно идентифицировать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(-ии), которые будут внедрены, или меры, операции или действия, которые будут предприняты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Краткое объяснение того, как антропогенные выбросы парниковых газов из источников будут сокращаться через предлагаемый проект, включая пояснение, почему сокращение выбросов не произойдет, если проект не будет внедрен, принимая во внимание базовые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Оцениваемые объемы сокращения выбросов за период выпуска офсетных единиц по проекту.</w:t>
            </w:r>
          </w:p>
          <w:p>
            <w:pPr>
              <w:spacing w:after="20"/>
              <w:ind w:left="20"/>
              <w:jc w:val="both"/>
            </w:pPr>
            <w:r>
              <w:rPr>
                <w:rFonts w:ascii="Times New Roman"/>
                <w:b w:val="false"/>
                <w:i w:val="false"/>
                <w:color w:val="000000"/>
                <w:sz w:val="20"/>
              </w:rPr>
              <w:t>
9. Одобрение проекта заинтересованными сторонами.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1. Описание и обоснование базового сценария.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того, как антропогенные выбросы парниковых газов из источников сокращаются ниже того уровня, который бы имел место при отсутствии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Описание того, как определены границы деятельности применительно к проекту.</w:t>
            </w:r>
          </w:p>
          <w:p>
            <w:pPr>
              <w:spacing w:after="20"/>
              <w:ind w:left="20"/>
              <w:jc w:val="both"/>
            </w:pPr>
            <w:r>
              <w:rPr>
                <w:rFonts w:ascii="Times New Roman"/>
                <w:b w:val="false"/>
                <w:i w:val="false"/>
                <w:color w:val="000000"/>
                <w:sz w:val="20"/>
              </w:rPr>
              <w:t>
4. Дополнительная информация по базовому сценарию, включая дату определения и лиц, вовлеченных в его определение.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1. Дата начала проекта.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сокращения выбросов парниковых газов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1. Оцениваемые объемы выбросов по проекту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Оцениваемые утечки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Сумма ожидаемого сокращения и утечек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Оцениваемые выбросы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сокращений выбросов от проекта с учетом ожидаемых утечек</w:t>
            </w:r>
          </w:p>
          <w:p>
            <w:pPr>
              <w:spacing w:after="20"/>
              <w:ind w:left="20"/>
              <w:jc w:val="both"/>
            </w:pPr>
            <w:r>
              <w:rPr>
                <w:rFonts w:ascii="Times New Roman"/>
                <w:b w:val="false"/>
                <w:i w:val="false"/>
                <w:color w:val="000000"/>
                <w:sz w:val="20"/>
              </w:rPr>
              <w:t>
6. Общая таблица значений, полученных по пункту 1 и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комментариях заинтересованных сторон и как они были учтены участниками проекта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31"/>
    <w:p>
      <w:pPr>
        <w:spacing w:after="0"/>
        <w:ind w:left="0"/>
        <w:jc w:val="left"/>
      </w:pPr>
      <w:r>
        <w:rPr>
          <w:rFonts w:ascii="Times New Roman"/>
          <w:b/>
          <w:i w:val="false"/>
          <w:color w:val="000000"/>
        </w:rPr>
        <w:t xml:space="preserve"> Проектная документация для углеродного офсета по увеличению поглощения парниковых газов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об участниках проектах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1. Наименование заявителя/заявителей проекта.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Юридический адрес и адрес места нахождения заявителя/заявителей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Основной вид деятельности заявителя/заявителей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государственной регистрации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 имя, отчество (при его наличии) руководителя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Фамилия, имя, отчество (при его наличии), адрес, телефон, факс и адрес электронной почты контактного лица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Основной вид деятельности инвестора проекта.</w:t>
            </w:r>
          </w:p>
          <w:p>
            <w:pPr>
              <w:spacing w:after="20"/>
              <w:ind w:left="20"/>
              <w:jc w:val="both"/>
            </w:pPr>
            <w:r>
              <w:rPr>
                <w:rFonts w:ascii="Times New Roman"/>
                <w:b w:val="false"/>
                <w:i w:val="false"/>
                <w:color w:val="000000"/>
                <w:sz w:val="20"/>
              </w:rPr>
              <w:t xml:space="preserve">
10. Доля офсетных единиц от проекта, которая полагается каждому из заявителей проекта, согласно договору по разделу углеродных единиц между заявителями.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1. Название проекта.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(заявители)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Техническое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Место расположения проекта (регион, населенный пункт, сведения о географическом расположении проекта, позволяющие однозначно идентифицировать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(-ии), которые будут внедрены, или меры, операции или действия, которые будут предприняты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Краткое объяснение того, как окончательное антропогенное поглощение выбросов парниковых газов будет увеличено через предлагаемый проект, включая пояснение, почему это повышение не произойдет, если проект не будет внедрен, принимая во внимание базовые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Оцениваемые объемы окончательного увеличения поглощения за период выпуска офсетных единиц.</w:t>
            </w:r>
          </w:p>
          <w:p>
            <w:pPr>
              <w:spacing w:after="20"/>
              <w:ind w:left="20"/>
              <w:jc w:val="both"/>
            </w:pPr>
            <w:r>
              <w:rPr>
                <w:rFonts w:ascii="Times New Roman"/>
                <w:b w:val="false"/>
                <w:i w:val="false"/>
                <w:color w:val="000000"/>
                <w:sz w:val="20"/>
              </w:rPr>
              <w:t>
9. Одобрение проекта заинтересованными сторонами.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1. Описание и обоснование базового сценария.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Выбранные углеродные накопители.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источников парниковых газов, выбросы которых будут частью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Описание того, как конечная антропогенная абсорбция поглотителями будет выше того уровня, который бы имел место при отсутствии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Описание того, как определены границы деятельности применительно к проекту.</w:t>
            </w:r>
          </w:p>
          <w:p>
            <w:pPr>
              <w:spacing w:after="20"/>
              <w:ind w:left="20"/>
              <w:jc w:val="both"/>
            </w:pPr>
            <w:r>
              <w:rPr>
                <w:rFonts w:ascii="Times New Roman"/>
                <w:b w:val="false"/>
                <w:i w:val="false"/>
                <w:color w:val="000000"/>
                <w:sz w:val="20"/>
              </w:rPr>
              <w:t>
6. Дополнительная информация по базовому сценарию, включая дату определения и лиц, вовлеченных в его определение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1. Дата начала проекта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поглощения парниковых газов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6"/>
          <w:p>
            <w:pPr>
              <w:spacing w:after="20"/>
              <w:ind w:left="20"/>
              <w:jc w:val="both"/>
            </w:pPr>
            <w:r>
              <w:rPr>
                <w:rFonts w:ascii="Times New Roman"/>
                <w:b w:val="false"/>
                <w:i w:val="false"/>
                <w:color w:val="000000"/>
                <w:sz w:val="20"/>
              </w:rPr>
              <w:t>
1. Оцениваемая конечная антропогенная абсорбция поглотителями по проекту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Оцениваемая конечная антропогенная абсорбция поглотителями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Разница оцениваемой конечной антропогенной абсорбции поглотителями по проекту и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Оцениваемые утечки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Разница между пунктом 3 и пунктом 4, показывающая оцениваемое повышение конечной антропогенной абсорбции поглотителями</w:t>
            </w:r>
          </w:p>
          <w:p>
            <w:pPr>
              <w:spacing w:after="20"/>
              <w:ind w:left="20"/>
              <w:jc w:val="both"/>
            </w:pPr>
            <w:r>
              <w:rPr>
                <w:rFonts w:ascii="Times New Roman"/>
                <w:b w:val="false"/>
                <w:i w:val="false"/>
                <w:color w:val="000000"/>
                <w:sz w:val="20"/>
              </w:rPr>
              <w:t>
6. Общая таблица значений, полученных по пунктам 1 и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комментариях заинтересованных сторон и как они были учтены участниками проекта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37"/>
    <w:p>
      <w:pPr>
        <w:spacing w:after="0"/>
        <w:ind w:left="0"/>
        <w:jc w:val="left"/>
      </w:pPr>
      <w:r>
        <w:rPr>
          <w:rFonts w:ascii="Times New Roman"/>
          <w:b/>
          <w:i w:val="false"/>
          <w:color w:val="000000"/>
        </w:rPr>
        <w:t xml:space="preserve"> План мониторинга углеродного офсета</w:t>
      </w:r>
    </w:p>
    <w:bookmarkEnd w:id="137"/>
    <w:bookmarkStart w:name="z181" w:id="138"/>
    <w:p>
      <w:pPr>
        <w:spacing w:after="0"/>
        <w:ind w:left="0"/>
        <w:jc w:val="both"/>
      </w:pPr>
      <w:r>
        <w:rPr>
          <w:rFonts w:ascii="Times New Roman"/>
          <w:b w:val="false"/>
          <w:i w:val="false"/>
          <w:color w:val="000000"/>
          <w:sz w:val="28"/>
        </w:rPr>
        <w:t>
      1. Название проекта.</w:t>
      </w:r>
    </w:p>
    <w:bookmarkEnd w:id="138"/>
    <w:bookmarkStart w:name="z182" w:id="139"/>
    <w:p>
      <w:pPr>
        <w:spacing w:after="0"/>
        <w:ind w:left="0"/>
        <w:jc w:val="both"/>
      </w:pPr>
      <w:r>
        <w:rPr>
          <w:rFonts w:ascii="Times New Roman"/>
          <w:b w:val="false"/>
          <w:i w:val="false"/>
          <w:color w:val="000000"/>
          <w:sz w:val="28"/>
        </w:rPr>
        <w:t>
      2. Общее описание плана мониторинга.</w:t>
      </w:r>
    </w:p>
    <w:bookmarkEnd w:id="139"/>
    <w:bookmarkStart w:name="z183" w:id="140"/>
    <w:p>
      <w:pPr>
        <w:spacing w:after="0"/>
        <w:ind w:left="0"/>
        <w:jc w:val="both"/>
      </w:pPr>
      <w:r>
        <w:rPr>
          <w:rFonts w:ascii="Times New Roman"/>
          <w:b w:val="false"/>
          <w:i w:val="false"/>
          <w:color w:val="000000"/>
          <w:sz w:val="28"/>
        </w:rPr>
        <w:t>
      3. Описание процедур количественного определения сокращения выбросов парниковых газов или увеличения их поглощения по отношению к базовому сценарию проекта и мониторинга.</w:t>
      </w:r>
    </w:p>
    <w:bookmarkEnd w:id="140"/>
    <w:bookmarkStart w:name="z184" w:id="141"/>
    <w:p>
      <w:pPr>
        <w:spacing w:after="0"/>
        <w:ind w:left="0"/>
        <w:jc w:val="both"/>
      </w:pPr>
      <w:r>
        <w:rPr>
          <w:rFonts w:ascii="Times New Roman"/>
          <w:b w:val="false"/>
          <w:i w:val="false"/>
          <w:color w:val="000000"/>
          <w:sz w:val="28"/>
        </w:rPr>
        <w:t>
      4. Данные, которые будут использованы для проведения мониторинга (расчета) сокращения выбросов парниковых газов и (или) увеличения поглощения парниковых газов в результате реализации проекта.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деятельности или установки, по которой проводится мониторинг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2"/>
    <w:p>
      <w:pPr>
        <w:spacing w:after="0"/>
        <w:ind w:left="0"/>
        <w:jc w:val="both"/>
      </w:pPr>
      <w:r>
        <w:rPr>
          <w:rFonts w:ascii="Times New Roman"/>
          <w:b w:val="false"/>
          <w:i w:val="false"/>
          <w:color w:val="000000"/>
          <w:sz w:val="28"/>
        </w:rPr>
        <w:t>
      5. Описание формулы, используемой для подсчета сокращения выбросов парниковых газов и (или) увеличения поглощения парниковых газов в результате реализации проекта (для каждого газа, источника и т.д., выбросы в тоннах эквивалента диоксида углерода).</w:t>
      </w:r>
    </w:p>
    <w:bookmarkEnd w:id="142"/>
    <w:bookmarkStart w:name="z186" w:id="143"/>
    <w:p>
      <w:pPr>
        <w:spacing w:after="0"/>
        <w:ind w:left="0"/>
        <w:jc w:val="both"/>
      </w:pPr>
      <w:r>
        <w:rPr>
          <w:rFonts w:ascii="Times New Roman"/>
          <w:b w:val="false"/>
          <w:i w:val="false"/>
          <w:color w:val="000000"/>
          <w:sz w:val="28"/>
        </w:rPr>
        <w:t>
      6. Данные, используемые для мониторинга (расчета) выбросов и (или) поглощения парниковых газов по базовому сценарию</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деятельности или установки, по которой проводится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44"/>
    <w:p>
      <w:pPr>
        <w:spacing w:after="0"/>
        <w:ind w:left="0"/>
        <w:jc w:val="both"/>
      </w:pPr>
      <w:r>
        <w:rPr>
          <w:rFonts w:ascii="Times New Roman"/>
          <w:b w:val="false"/>
          <w:i w:val="false"/>
          <w:color w:val="000000"/>
          <w:sz w:val="28"/>
        </w:rPr>
        <w:t>
      7. Описание формулы, используемой для подсчета сокращения выбросов парниковых газов и (или) увеличения поглощения парниковых газов по базовому сценарию (для каждого газа, источника и т.д., выбросы в тоннах эквивалента диоксида углерода).</w:t>
      </w:r>
    </w:p>
    <w:bookmarkEnd w:id="144"/>
    <w:bookmarkStart w:name="z188" w:id="145"/>
    <w:p>
      <w:pPr>
        <w:spacing w:after="0"/>
        <w:ind w:left="0"/>
        <w:jc w:val="both"/>
      </w:pPr>
      <w:r>
        <w:rPr>
          <w:rFonts w:ascii="Times New Roman"/>
          <w:b w:val="false"/>
          <w:i w:val="false"/>
          <w:color w:val="000000"/>
          <w:sz w:val="28"/>
        </w:rPr>
        <w:t>
      8. Оценка утечек парниковых газов от реализации проекта в плане мониторинга, если применимо</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деятельности или установки, по которой проводится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6"/>
    <w:p>
      <w:pPr>
        <w:spacing w:after="0"/>
        <w:ind w:left="0"/>
        <w:jc w:val="both"/>
      </w:pPr>
      <w:r>
        <w:rPr>
          <w:rFonts w:ascii="Times New Roman"/>
          <w:b w:val="false"/>
          <w:i w:val="false"/>
          <w:color w:val="000000"/>
          <w:sz w:val="28"/>
        </w:rPr>
        <w:t>
      9. Описание формулы, используемой для подсчета утечек (для каждого газа, источника и т.д., выбросы в тоннах эквивалента диоксида углерода).</w:t>
      </w:r>
    </w:p>
    <w:bookmarkEnd w:id="146"/>
    <w:bookmarkStart w:name="z190" w:id="147"/>
    <w:p>
      <w:pPr>
        <w:spacing w:after="0"/>
        <w:ind w:left="0"/>
        <w:jc w:val="both"/>
      </w:pPr>
      <w:r>
        <w:rPr>
          <w:rFonts w:ascii="Times New Roman"/>
          <w:b w:val="false"/>
          <w:i w:val="false"/>
          <w:color w:val="000000"/>
          <w:sz w:val="28"/>
        </w:rPr>
        <w:t>
      10. Описание формулы, используемой для оценки сокращения выбросов от проекта (для каждого газа, источника и т.д.; сокращение выбросов в эквиваленте тонны диоксида углерода).</w:t>
      </w:r>
    </w:p>
    <w:bookmarkEnd w:id="147"/>
    <w:bookmarkStart w:name="z191" w:id="148"/>
    <w:p>
      <w:pPr>
        <w:spacing w:after="0"/>
        <w:ind w:left="0"/>
        <w:jc w:val="both"/>
      </w:pPr>
      <w:r>
        <w:rPr>
          <w:rFonts w:ascii="Times New Roman"/>
          <w:b w:val="false"/>
          <w:i w:val="false"/>
          <w:color w:val="000000"/>
          <w:sz w:val="28"/>
        </w:rPr>
        <w:t>
      11. Описание процедур контроля качества и обеспечения качества, принятых для плана мониторинга.</w:t>
      </w:r>
    </w:p>
    <w:bookmarkEnd w:id="148"/>
    <w:bookmarkStart w:name="z192" w:id="149"/>
    <w:p>
      <w:pPr>
        <w:spacing w:after="0"/>
        <w:ind w:left="0"/>
        <w:jc w:val="both"/>
      </w:pPr>
      <w:r>
        <w:rPr>
          <w:rFonts w:ascii="Times New Roman"/>
          <w:b w:val="false"/>
          <w:i w:val="false"/>
          <w:color w:val="000000"/>
          <w:sz w:val="28"/>
        </w:rPr>
        <w:t>
      12. Описание системы управления и деятельности, которая используется при внедрении плана мониторинга.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w:t>
            </w:r>
            <w:r>
              <w:br/>
            </w:r>
            <w:r>
              <w:rPr>
                <w:rFonts w:ascii="Times New Roman"/>
                <w:b w:val="false"/>
                <w:i w:val="false"/>
                <w:color w:val="000000"/>
                <w:sz w:val="20"/>
              </w:rPr>
              <w:t>офсетных единиц</w:t>
            </w:r>
          </w:p>
        </w:tc>
      </w:tr>
    </w:tbl>
    <w:p>
      <w:pPr>
        <w:spacing w:after="0"/>
        <w:ind w:left="0"/>
        <w:jc w:val="both"/>
      </w:pPr>
      <w:r>
        <w:rPr>
          <w:rFonts w:ascii="Times New Roman"/>
          <w:b w:val="false"/>
          <w:i w:val="false"/>
          <w:color w:val="ff0000"/>
          <w:sz w:val="28"/>
        </w:rPr>
        <w:t xml:space="preserve">
      Сноска. Приложение 5 – редакции приказа Министра экологии и природных ресурсов РК от 30.09.2025 </w:t>
      </w:r>
      <w:r>
        <w:rPr>
          <w:rFonts w:ascii="Times New Roman"/>
          <w:b w:val="false"/>
          <w:i w:val="false"/>
          <w:color w:val="ff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уполномоченный орган в области охраны окружающей среды.</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p>
      <w:pPr>
        <w:spacing w:after="0"/>
        <w:ind w:left="0"/>
        <w:jc w:val="both"/>
      </w:pPr>
      <w:r>
        <w:rPr>
          <w:rFonts w:ascii="Times New Roman"/>
          <w:b w:val="false"/>
          <w:i w:val="false"/>
          <w:color w:val="000000"/>
          <w:sz w:val="28"/>
        </w:rPr>
        <w:t>
      Наименование административной формы: Отчет о реализации углеродного офсета</w:t>
      </w:r>
    </w:p>
    <w:p>
      <w:pPr>
        <w:spacing w:after="0"/>
        <w:ind w:left="0"/>
        <w:jc w:val="both"/>
      </w:pPr>
      <w:r>
        <w:rPr>
          <w:rFonts w:ascii="Times New Roman"/>
          <w:b w:val="false"/>
          <w:i w:val="false"/>
          <w:color w:val="000000"/>
          <w:sz w:val="28"/>
        </w:rPr>
        <w:t>
      Отчетный период: __ год.</w:t>
      </w:r>
    </w:p>
    <w:p>
      <w:pPr>
        <w:spacing w:after="0"/>
        <w:ind w:left="0"/>
        <w:jc w:val="both"/>
      </w:pPr>
      <w:r>
        <w:rPr>
          <w:rFonts w:ascii="Times New Roman"/>
          <w:b w:val="false"/>
          <w:i w:val="false"/>
          <w:color w:val="000000"/>
          <w:sz w:val="28"/>
        </w:rPr>
        <w:t>
      Индекс формы административных данных: 1-ОРУО</w:t>
      </w:r>
    </w:p>
    <w:p>
      <w:pPr>
        <w:spacing w:after="0"/>
        <w:ind w:left="0"/>
        <w:jc w:val="both"/>
      </w:pPr>
      <w:r>
        <w:rPr>
          <w:rFonts w:ascii="Times New Roman"/>
          <w:b w:val="false"/>
          <w:i w:val="false"/>
          <w:color w:val="000000"/>
          <w:sz w:val="28"/>
        </w:rPr>
        <w:t>
      Периодичность: единовременная (при наличии потребности в офсетных единицах).</w:t>
      </w:r>
    </w:p>
    <w:p>
      <w:pPr>
        <w:spacing w:after="0"/>
        <w:ind w:left="0"/>
        <w:jc w:val="both"/>
      </w:pPr>
      <w:r>
        <w:rPr>
          <w:rFonts w:ascii="Times New Roman"/>
          <w:b w:val="false"/>
          <w:i w:val="false"/>
          <w:color w:val="000000"/>
          <w:sz w:val="28"/>
        </w:rPr>
        <w:t>
      Круг лиц, представляющих информацию: физическое лицо, юридическое лицо или группа юридических лиц, представляющие проект углеродного офсета на рассмотрение и одобрение уполномоченному органу, заявитель проекта.</w:t>
      </w:r>
    </w:p>
    <w:p>
      <w:pPr>
        <w:spacing w:after="0"/>
        <w:ind w:left="0"/>
        <w:jc w:val="both"/>
      </w:pPr>
      <w:r>
        <w:rPr>
          <w:rFonts w:ascii="Times New Roman"/>
          <w:b w:val="false"/>
          <w:i w:val="false"/>
          <w:color w:val="000000"/>
          <w:sz w:val="28"/>
        </w:rPr>
        <w:t>
      Срок представления формы административных данных: устанавливается заявителем проекта самостоятельно.</w:t>
      </w:r>
    </w:p>
    <w:p>
      <w:pPr>
        <w:spacing w:after="0"/>
        <w:ind w:left="0"/>
        <w:jc w:val="both"/>
      </w:pPr>
      <w:r>
        <w:rPr>
          <w:rFonts w:ascii="Times New Roman"/>
          <w:b w:val="false"/>
          <w:i w:val="false"/>
          <w:color w:val="000000"/>
          <w:sz w:val="28"/>
        </w:rPr>
        <w:t>
      ИИН/БИН_______________________________________________________  (не заполняется в случае представления данных физическими лицами,  а также в агрегированном виде)</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заявителе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верификации заявленных сокращений выбросов парниковых газов и (или) увеличения поглощения парниковых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базового сценария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любых существенных отклонениях при реализации проекта от одобренной проектной документации и плана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критериев, процедур и документов, использованных в качестве основы для расчетов сокращения выбросов парниковых газов и (или) увеличения их поглощения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заявителя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верификации отчета о реализации углеродного офсета аккредитованным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аккредитованного органа, осуществляющего верификацию,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аттестата об аккредитации или дата, серия, номер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за верификацию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сокращения выбросов и (или) поглощения парниковых газов в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выбросы парниковых газов в эквиваленте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руководителя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Место для печати___________________________________________</w:t>
      </w:r>
    </w:p>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 Отчет о реализации углеродного офсета (индекс и периодичность формы)</w:t>
      </w:r>
    </w:p>
    <w:p>
      <w:pPr>
        <w:spacing w:after="0"/>
        <w:ind w:left="0"/>
        <w:jc w:val="both"/>
      </w:pPr>
      <w:r>
        <w:rPr>
          <w:rFonts w:ascii="Times New Roman"/>
          <w:b w:val="false"/>
          <w:i w:val="false"/>
          <w:color w:val="000000"/>
          <w:sz w:val="28"/>
        </w:rPr>
        <w:t>
      Сведения для разработки отчета о реализации углеродного офсета (далее –</w:t>
      </w:r>
    </w:p>
    <w:p>
      <w:pPr>
        <w:spacing w:after="0"/>
        <w:ind w:left="0"/>
        <w:jc w:val="both"/>
      </w:pPr>
      <w:r>
        <w:rPr>
          <w:rFonts w:ascii="Times New Roman"/>
          <w:b w:val="false"/>
          <w:i w:val="false"/>
          <w:color w:val="000000"/>
          <w:sz w:val="28"/>
        </w:rPr>
        <w:t>
      Приложение 5), периодичность: при наличии потребности в офсетных единицах.</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физическими, юридическими лицами или группой юридических лиц, представляющие отчет о реализации углеродного офсета.</w:t>
      </w:r>
    </w:p>
    <w:p>
      <w:pPr>
        <w:spacing w:after="0"/>
        <w:ind w:left="0"/>
        <w:jc w:val="both"/>
      </w:pPr>
      <w:r>
        <w:rPr>
          <w:rFonts w:ascii="Times New Roman"/>
          <w:b w:val="false"/>
          <w:i w:val="false"/>
          <w:color w:val="000000"/>
          <w:sz w:val="28"/>
        </w:rPr>
        <w:t>
      2. Заявители проектов предоставляют данные о выбросах и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p>
      <w:pPr>
        <w:spacing w:after="0"/>
        <w:ind w:left="0"/>
        <w:jc w:val="both"/>
      </w:pPr>
      <w:r>
        <w:rPr>
          <w:rFonts w:ascii="Times New Roman"/>
          <w:b w:val="false"/>
          <w:i w:val="false"/>
          <w:color w:val="000000"/>
          <w:sz w:val="28"/>
        </w:rPr>
        <w:t>
      3. Показатели, подтверждающие сокращение выбросов и (или) поглощения парниковых газов заполняются в эквиваленте тонны диоксида углерода</w:t>
      </w:r>
    </w:p>
    <w:p>
      <w:pPr>
        <w:spacing w:after="0"/>
        <w:ind w:left="0"/>
        <w:jc w:val="both"/>
      </w:pPr>
      <w:r>
        <w:rPr>
          <w:rFonts w:ascii="Times New Roman"/>
          <w:b w:val="false"/>
          <w:i w:val="false"/>
          <w:color w:val="000000"/>
          <w:sz w:val="28"/>
        </w:rPr>
        <w:t>
      4. Отчет подписывается заявителем проекта. Отчет представляется в уполномоченный орган в области охраны окружающей среды в электронном формате.</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указываются данные о заявителе проекта.</w:t>
      </w:r>
    </w:p>
    <w:p>
      <w:pPr>
        <w:spacing w:after="0"/>
        <w:ind w:left="0"/>
        <w:jc w:val="both"/>
      </w:pPr>
      <w:r>
        <w:rPr>
          <w:rFonts w:ascii="Times New Roman"/>
          <w:b w:val="false"/>
          <w:i w:val="false"/>
          <w:color w:val="000000"/>
          <w:sz w:val="28"/>
        </w:rPr>
        <w:t>
      6. В графе 2 указываются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p>
      <w:pPr>
        <w:spacing w:after="0"/>
        <w:ind w:left="0"/>
        <w:jc w:val="both"/>
      </w:pPr>
      <w:r>
        <w:rPr>
          <w:rFonts w:ascii="Times New Roman"/>
          <w:b w:val="false"/>
          <w:i w:val="false"/>
          <w:color w:val="000000"/>
          <w:sz w:val="28"/>
        </w:rPr>
        <w:t>
      7. В графе 3 указывается отчетный период реализации углеродного офсета.</w:t>
      </w:r>
    </w:p>
    <w:p>
      <w:pPr>
        <w:spacing w:after="0"/>
        <w:ind w:left="0"/>
        <w:jc w:val="both"/>
      </w:pPr>
      <w:r>
        <w:rPr>
          <w:rFonts w:ascii="Times New Roman"/>
          <w:b w:val="false"/>
          <w:i w:val="false"/>
          <w:color w:val="000000"/>
          <w:sz w:val="28"/>
        </w:rPr>
        <w:t>
      8. В графе 4 указываются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p>
      <w:pPr>
        <w:spacing w:after="0"/>
        <w:ind w:left="0"/>
        <w:jc w:val="both"/>
      </w:pPr>
      <w:r>
        <w:rPr>
          <w:rFonts w:ascii="Times New Roman"/>
          <w:b w:val="false"/>
          <w:i w:val="false"/>
          <w:color w:val="000000"/>
          <w:sz w:val="28"/>
        </w:rPr>
        <w:t>
      9. В графе 5 указываются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p>
      <w:pPr>
        <w:spacing w:after="0"/>
        <w:ind w:left="0"/>
        <w:jc w:val="both"/>
      </w:pPr>
      <w:r>
        <w:rPr>
          <w:rFonts w:ascii="Times New Roman"/>
          <w:b w:val="false"/>
          <w:i w:val="false"/>
          <w:color w:val="000000"/>
          <w:sz w:val="28"/>
        </w:rPr>
        <w:t>
      10. В графе 6 указываются сведения о верификации заявленных сокращений выбросов парниковых газов и (или) увеличения поглощения парниковых газов.</w:t>
      </w:r>
    </w:p>
    <w:p>
      <w:pPr>
        <w:spacing w:after="0"/>
        <w:ind w:left="0"/>
        <w:jc w:val="both"/>
      </w:pPr>
      <w:r>
        <w:rPr>
          <w:rFonts w:ascii="Times New Roman"/>
          <w:b w:val="false"/>
          <w:i w:val="false"/>
          <w:color w:val="000000"/>
          <w:sz w:val="28"/>
        </w:rPr>
        <w:t>
      11. В графе 7 описывается базовый сценарий проекта.</w:t>
      </w:r>
    </w:p>
    <w:p>
      <w:pPr>
        <w:spacing w:after="0"/>
        <w:ind w:left="0"/>
        <w:jc w:val="both"/>
      </w:pPr>
      <w:r>
        <w:rPr>
          <w:rFonts w:ascii="Times New Roman"/>
          <w:b w:val="false"/>
          <w:i w:val="false"/>
          <w:color w:val="000000"/>
          <w:sz w:val="28"/>
        </w:rPr>
        <w:t>
      12. В графе 8 указывается информация о любых существенных отклонениях при реализации проекта от одобренной проектной документации и плана мониторинга.</w:t>
      </w:r>
    </w:p>
    <w:p>
      <w:pPr>
        <w:spacing w:after="0"/>
        <w:ind w:left="0"/>
        <w:jc w:val="both"/>
      </w:pPr>
      <w:r>
        <w:rPr>
          <w:rFonts w:ascii="Times New Roman"/>
          <w:b w:val="false"/>
          <w:i w:val="false"/>
          <w:color w:val="000000"/>
          <w:sz w:val="28"/>
        </w:rPr>
        <w:t>
      13. В графе 9 отображаются критерии, процедуры и документы, использованные в качестве основы для расчетов сокращения выбросов парниковых газов и (или) увеличения их поглощения.</w:t>
      </w:r>
    </w:p>
    <w:p>
      <w:pPr>
        <w:spacing w:after="0"/>
        <w:ind w:left="0"/>
        <w:jc w:val="both"/>
      </w:pPr>
      <w:r>
        <w:rPr>
          <w:rFonts w:ascii="Times New Roman"/>
          <w:b w:val="false"/>
          <w:i w:val="false"/>
          <w:color w:val="000000"/>
          <w:sz w:val="28"/>
        </w:rPr>
        <w:t>
      14. В графе 10 указывается фамилия, имя, отчество (при его наличии), подпись заявителя проекта.</w:t>
      </w:r>
    </w:p>
    <w:p>
      <w:pPr>
        <w:spacing w:after="0"/>
        <w:ind w:left="0"/>
        <w:jc w:val="both"/>
      </w:pPr>
      <w:r>
        <w:rPr>
          <w:rFonts w:ascii="Times New Roman"/>
          <w:b w:val="false"/>
          <w:i w:val="false"/>
          <w:color w:val="000000"/>
          <w:sz w:val="28"/>
        </w:rPr>
        <w:t>
      15. В графе 11 указывается информация, подтверждающая верификацию отчета о реализации углеродного офсета аккредитованным органом:</w:t>
      </w:r>
    </w:p>
    <w:p>
      <w:pPr>
        <w:spacing w:after="0"/>
        <w:ind w:left="0"/>
        <w:jc w:val="both"/>
      </w:pPr>
      <w:r>
        <w:rPr>
          <w:rFonts w:ascii="Times New Roman"/>
          <w:b w:val="false"/>
          <w:i w:val="false"/>
          <w:color w:val="000000"/>
          <w:sz w:val="28"/>
        </w:rPr>
        <w:t>
      полное наименование аккредитованного органа, осуществляющего верификацию, бизнес-идентификационный номер</w:t>
      </w:r>
    </w:p>
    <w:p>
      <w:pPr>
        <w:spacing w:after="0"/>
        <w:ind w:left="0"/>
        <w:jc w:val="both"/>
      </w:pPr>
      <w:r>
        <w:rPr>
          <w:rFonts w:ascii="Times New Roman"/>
          <w:b w:val="false"/>
          <w:i w:val="false"/>
          <w:color w:val="000000"/>
          <w:sz w:val="28"/>
        </w:rPr>
        <w:t>
      номер и срок аттестата об аккредитации или дата, серия, номер свидетельства об аккредитации</w:t>
      </w:r>
    </w:p>
    <w:p>
      <w:pPr>
        <w:spacing w:after="0"/>
        <w:ind w:left="0"/>
        <w:jc w:val="both"/>
      </w:pPr>
      <w:r>
        <w:rPr>
          <w:rFonts w:ascii="Times New Roman"/>
          <w:b w:val="false"/>
          <w:i w:val="false"/>
          <w:color w:val="000000"/>
          <w:sz w:val="28"/>
        </w:rPr>
        <w:t>
      юридический адрес аккредитованного органа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фамилия, имя, отчество (при его наличии) ответственного за верификацию.</w:t>
      </w:r>
    </w:p>
    <w:p>
      <w:pPr>
        <w:spacing w:after="0"/>
        <w:ind w:left="0"/>
        <w:jc w:val="both"/>
      </w:pPr>
      <w:r>
        <w:rPr>
          <w:rFonts w:ascii="Times New Roman"/>
          <w:b w:val="false"/>
          <w:i w:val="false"/>
          <w:color w:val="000000"/>
          <w:sz w:val="28"/>
        </w:rPr>
        <w:t>
      16. В графе 12 указывается информация, подтверждающая сокращение выбросов и (или) поглощения парниковых газов в следующем объеме:</w:t>
      </w:r>
    </w:p>
    <w:p>
      <w:pPr>
        <w:spacing w:after="0"/>
        <w:ind w:left="0"/>
        <w:jc w:val="both"/>
      </w:pPr>
      <w:r>
        <w:rPr>
          <w:rFonts w:ascii="Times New Roman"/>
          <w:b w:val="false"/>
          <w:i w:val="false"/>
          <w:color w:val="000000"/>
          <w:sz w:val="28"/>
        </w:rPr>
        <w:t>
      диоксида углерода, тонна</w:t>
      </w:r>
    </w:p>
    <w:p>
      <w:pPr>
        <w:spacing w:after="0"/>
        <w:ind w:left="0"/>
        <w:jc w:val="both"/>
      </w:pPr>
      <w:r>
        <w:rPr>
          <w:rFonts w:ascii="Times New Roman"/>
          <w:b w:val="false"/>
          <w:i w:val="false"/>
          <w:color w:val="000000"/>
          <w:sz w:val="28"/>
        </w:rPr>
        <w:t>
      общие выбросы парниковых газов в эквиваленте диоксида углерода, тонна</w:t>
      </w:r>
    </w:p>
    <w:p>
      <w:pPr>
        <w:spacing w:after="0"/>
        <w:ind w:left="0"/>
        <w:jc w:val="both"/>
      </w:pPr>
      <w:r>
        <w:rPr>
          <w:rFonts w:ascii="Times New Roman"/>
          <w:b w:val="false"/>
          <w:i w:val="false"/>
          <w:color w:val="000000"/>
          <w:sz w:val="28"/>
        </w:rPr>
        <w:t>
      фамилия, имя, отчество (при его наличии), подпись руководителя аккредитованного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w:t>
            </w:r>
            <w:r>
              <w:br/>
            </w:r>
            <w:r>
              <w:rPr>
                <w:rFonts w:ascii="Times New Roman"/>
                <w:b w:val="false"/>
                <w:i w:val="false"/>
                <w:color w:val="000000"/>
                <w:sz w:val="20"/>
              </w:rPr>
              <w:t>офсетных единиц</w:t>
            </w:r>
          </w:p>
        </w:tc>
      </w:tr>
    </w:tbl>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реализацию проектов углеродных офсетов</w:t>
      </w:r>
      <w:r>
        <w:br/>
      </w:r>
      <w:r>
        <w:rPr>
          <w:rFonts w:ascii="Times New Roman"/>
          <w:b/>
          <w:i w:val="false"/>
          <w:color w:val="000000"/>
        </w:rPr>
        <w:t>на участках государственного лесного фонда № ________</w:t>
      </w:r>
    </w:p>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экологии и природных ресурсов РК от 30.09.2025 </w:t>
      </w:r>
      <w:r>
        <w:rPr>
          <w:rFonts w:ascii="Times New Roman"/>
          <w:b w:val="false"/>
          <w:i w:val="false"/>
          <w:color w:val="ff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"___" _______ 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лесовладельца в ведении которого находятся</w:t>
      </w:r>
    </w:p>
    <w:p>
      <w:pPr>
        <w:spacing w:after="0"/>
        <w:ind w:left="0"/>
        <w:jc w:val="both"/>
      </w:pPr>
      <w:r>
        <w:rPr>
          <w:rFonts w:ascii="Times New Roman"/>
          <w:b w:val="false"/>
          <w:i w:val="false"/>
          <w:color w:val="000000"/>
          <w:sz w:val="28"/>
        </w:rPr>
        <w:t xml:space="preserve">                   представляемые участки государственного лесного фонда) </w:t>
      </w:r>
    </w:p>
    <w:p>
      <w:pPr>
        <w:spacing w:after="0"/>
        <w:ind w:left="0"/>
        <w:jc w:val="both"/>
      </w:pPr>
      <w:r>
        <w:rPr>
          <w:rFonts w:ascii="Times New Roman"/>
          <w:b w:val="false"/>
          <w:i w:val="false"/>
          <w:color w:val="000000"/>
          <w:sz w:val="28"/>
        </w:rPr>
        <w:t>
      в лице директора учреждения _________________ (Ф.И.О), действующего на</w:t>
      </w:r>
    </w:p>
    <w:p>
      <w:pPr>
        <w:spacing w:after="0"/>
        <w:ind w:left="0"/>
        <w:jc w:val="both"/>
      </w:pPr>
      <w:r>
        <w:rPr>
          <w:rFonts w:ascii="Times New Roman"/>
          <w:b w:val="false"/>
          <w:i w:val="false"/>
          <w:color w:val="000000"/>
          <w:sz w:val="28"/>
        </w:rPr>
        <w:t>основании Положения, именуемый в дальнейшем "Государственный</w:t>
      </w:r>
    </w:p>
    <w:p>
      <w:pPr>
        <w:spacing w:after="0"/>
        <w:ind w:left="0"/>
        <w:jc w:val="both"/>
      </w:pPr>
      <w:r>
        <w:rPr>
          <w:rFonts w:ascii="Times New Roman"/>
          <w:b w:val="false"/>
          <w:i w:val="false"/>
          <w:color w:val="000000"/>
          <w:sz w:val="28"/>
        </w:rPr>
        <w:t>лесовладелец"_________________________________________________________________,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или физического лица)</w:t>
      </w:r>
    </w:p>
    <w:p>
      <w:pPr>
        <w:spacing w:after="0"/>
        <w:ind w:left="0"/>
        <w:jc w:val="both"/>
      </w:pPr>
      <w:r>
        <w:rPr>
          <w:rFonts w:ascii="Times New Roman"/>
          <w:b w:val="false"/>
          <w:i w:val="false"/>
          <w:color w:val="000000"/>
          <w:sz w:val="28"/>
        </w:rPr>
        <w:t>
      в лице руководителя (директора) ___________________________ (Ф.И.О), действующего на</w:t>
      </w:r>
    </w:p>
    <w:p>
      <w:pPr>
        <w:spacing w:after="0"/>
        <w:ind w:left="0"/>
        <w:jc w:val="both"/>
      </w:pPr>
      <w:r>
        <w:rPr>
          <w:rFonts w:ascii="Times New Roman"/>
          <w:b w:val="false"/>
          <w:i w:val="false"/>
          <w:color w:val="000000"/>
          <w:sz w:val="28"/>
        </w:rPr>
        <w:t>основании Устава, именуемый в дальнейшем "Заявитель проекта", совместно именуемые</w:t>
      </w:r>
    </w:p>
    <w:p>
      <w:pPr>
        <w:spacing w:after="0"/>
        <w:ind w:left="0"/>
        <w:jc w:val="both"/>
      </w:pPr>
      <w:r>
        <w:rPr>
          <w:rFonts w:ascii="Times New Roman"/>
          <w:b w:val="false"/>
          <w:i w:val="false"/>
          <w:color w:val="000000"/>
          <w:sz w:val="28"/>
        </w:rPr>
        <w:t>"Стороны", заключили настоящий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Государственный лесовладелец предоставляет земли государственного лесного фонда заявителю проекта на основании положительного решения уполномоченного органа на реализацию проекта углеродных офсетов на участках государственного лесного фонда, на срок до _____ лет, в границах и на площади указанного в концепции проекта.</w:t>
      </w:r>
    </w:p>
    <w:p>
      <w:pPr>
        <w:spacing w:after="0"/>
        <w:ind w:left="0"/>
        <w:jc w:val="both"/>
      </w:pPr>
      <w:r>
        <w:rPr>
          <w:rFonts w:ascii="Times New Roman"/>
          <w:b w:val="false"/>
          <w:i w:val="false"/>
          <w:color w:val="000000"/>
          <w:sz w:val="28"/>
        </w:rPr>
        <w:t>
      2. Заявитель проекта осуществляет деятельность в пределах объемов (размеров), указанных в концепции проекта (проектная идея), проектной документации и плана мониторинга.</w:t>
      </w:r>
    </w:p>
    <w:p>
      <w:pPr>
        <w:spacing w:after="0"/>
        <w:ind w:left="0"/>
        <w:jc w:val="both"/>
      </w:pPr>
      <w:r>
        <w:rPr>
          <w:rFonts w:ascii="Times New Roman"/>
          <w:b w:val="false"/>
          <w:i w:val="false"/>
          <w:color w:val="000000"/>
          <w:sz w:val="28"/>
        </w:rPr>
        <w:t>
      3. Ежегодный размер платы на реализацию проекта, включает в себя осуществление мероприятий по охране и защите лесных насаждений, проведение противопожарных и санитарных мероприятий, а также других мероприятия, направленные на сохранения лесных насаждений.</w:t>
      </w:r>
    </w:p>
    <w:p>
      <w:pPr>
        <w:spacing w:after="0"/>
        <w:ind w:left="0"/>
        <w:jc w:val="both"/>
      </w:pPr>
      <w:r>
        <w:rPr>
          <w:rFonts w:ascii="Times New Roman"/>
          <w:b w:val="false"/>
          <w:i w:val="false"/>
          <w:color w:val="000000"/>
          <w:sz w:val="28"/>
        </w:rPr>
        <w:t>
      4. Заявитель проекта осуществляет оплату в соответствии с расчетами Государственного лесовладельца, направленных на охрану, защиту, воспроизводство и лесоразведение согласно типовым нормам выработки.</w:t>
      </w:r>
    </w:p>
    <w:p>
      <w:pPr>
        <w:spacing w:after="0"/>
        <w:ind w:left="0"/>
        <w:jc w:val="both"/>
      </w:pPr>
      <w:r>
        <w:rPr>
          <w:rFonts w:ascii="Times New Roman"/>
          <w:b w:val="false"/>
          <w:i w:val="false"/>
          <w:color w:val="000000"/>
          <w:sz w:val="28"/>
        </w:rPr>
        <w:t>
      5. После подписания настоящего Договора, Заявитель проекта перечисляет средства на реализацию проекта Государственному лесовладельцу в сроки, установленные сторонами.</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Права и обязанности Государственного лесовладельца:</w:t>
      </w:r>
    </w:p>
    <w:p>
      <w:pPr>
        <w:spacing w:after="0"/>
        <w:ind w:left="0"/>
        <w:jc w:val="both"/>
      </w:pPr>
      <w:r>
        <w:rPr>
          <w:rFonts w:ascii="Times New Roman"/>
          <w:b w:val="false"/>
          <w:i w:val="false"/>
          <w:color w:val="000000"/>
          <w:sz w:val="28"/>
        </w:rPr>
        <w:t>
      6. Осуществлять реализацию проекта углеродных офсетов на участках государственного лесного фонда, в соответствии с Правилами воспроизводства лесов и лесоразведения и контроля за их качеством и законодательными актами в области лесного хозяйства.</w:t>
      </w:r>
    </w:p>
    <w:p>
      <w:pPr>
        <w:spacing w:after="0"/>
        <w:ind w:left="0"/>
        <w:jc w:val="both"/>
      </w:pPr>
      <w:r>
        <w:rPr>
          <w:rFonts w:ascii="Times New Roman"/>
          <w:b w:val="false"/>
          <w:i w:val="false"/>
          <w:color w:val="000000"/>
          <w:sz w:val="28"/>
        </w:rPr>
        <w:t>
      7. В рамках настоящего договора Государственный лесовладелец:</w:t>
      </w:r>
    </w:p>
    <w:p>
      <w:pPr>
        <w:spacing w:after="0"/>
        <w:ind w:left="0"/>
        <w:jc w:val="both"/>
      </w:pPr>
      <w:r>
        <w:rPr>
          <w:rFonts w:ascii="Times New Roman"/>
          <w:b w:val="false"/>
          <w:i w:val="false"/>
          <w:color w:val="000000"/>
          <w:sz w:val="28"/>
        </w:rPr>
        <w:t>
      7.1 обеспечивает охрану и защиту лесных насаждений созданных в соответствии с проектом углеродных офсетов за счет средств заявителя;</w:t>
      </w:r>
    </w:p>
    <w:p>
      <w:pPr>
        <w:spacing w:after="0"/>
        <w:ind w:left="0"/>
        <w:jc w:val="both"/>
      </w:pPr>
      <w:r>
        <w:rPr>
          <w:rFonts w:ascii="Times New Roman"/>
          <w:b w:val="false"/>
          <w:i w:val="false"/>
          <w:color w:val="000000"/>
          <w:sz w:val="28"/>
        </w:rPr>
        <w:t>
      7.2. может быть привлечен как исполнитель по посадке и проведению уходных работ по согласованию сторон за счет средств заявителя.</w:t>
      </w:r>
    </w:p>
    <w:p>
      <w:pPr>
        <w:spacing w:after="0"/>
        <w:ind w:left="0"/>
        <w:jc w:val="both"/>
      </w:pPr>
      <w:r>
        <w:rPr>
          <w:rFonts w:ascii="Times New Roman"/>
          <w:b w:val="false"/>
          <w:i w:val="false"/>
          <w:color w:val="000000"/>
          <w:sz w:val="28"/>
        </w:rPr>
        <w:t>
      8. Приостанавливать и ограничивать право деятельности на территории государственного лесного фонда в случае:</w:t>
      </w:r>
    </w:p>
    <w:p>
      <w:pPr>
        <w:spacing w:after="0"/>
        <w:ind w:left="0"/>
        <w:jc w:val="both"/>
      </w:pPr>
      <w:r>
        <w:rPr>
          <w:rFonts w:ascii="Times New Roman"/>
          <w:b w:val="false"/>
          <w:i w:val="false"/>
          <w:color w:val="000000"/>
          <w:sz w:val="28"/>
        </w:rPr>
        <w:t>
      8.1. нарушения требований лесного и природоохранного законодательства;</w:t>
      </w:r>
    </w:p>
    <w:p>
      <w:pPr>
        <w:spacing w:after="0"/>
        <w:ind w:left="0"/>
        <w:jc w:val="both"/>
      </w:pPr>
      <w:r>
        <w:rPr>
          <w:rFonts w:ascii="Times New Roman"/>
          <w:b w:val="false"/>
          <w:i w:val="false"/>
          <w:color w:val="000000"/>
          <w:sz w:val="28"/>
        </w:rPr>
        <w:t>
      8.2. использования территории государственного лесного фонда не предусмотренным с целевым назначением согласно Договора;</w:t>
      </w:r>
    </w:p>
    <w:p>
      <w:pPr>
        <w:spacing w:after="0"/>
        <w:ind w:left="0"/>
        <w:jc w:val="both"/>
      </w:pPr>
      <w:r>
        <w:rPr>
          <w:rFonts w:ascii="Times New Roman"/>
          <w:b w:val="false"/>
          <w:i w:val="false"/>
          <w:color w:val="000000"/>
          <w:sz w:val="28"/>
        </w:rPr>
        <w:t>
      8.3. не внесения или несовременного внесения оплаты для проведения работ по реализации проекта;</w:t>
      </w:r>
    </w:p>
    <w:p>
      <w:pPr>
        <w:spacing w:after="0"/>
        <w:ind w:left="0"/>
        <w:jc w:val="both"/>
      </w:pPr>
      <w:r>
        <w:rPr>
          <w:rFonts w:ascii="Times New Roman"/>
          <w:b w:val="false"/>
          <w:i w:val="false"/>
          <w:color w:val="000000"/>
          <w:sz w:val="28"/>
        </w:rPr>
        <w:t>
      8.4. нарушения требований настоящего Договора.</w:t>
      </w:r>
    </w:p>
    <w:p>
      <w:pPr>
        <w:spacing w:after="0"/>
        <w:ind w:left="0"/>
        <w:jc w:val="both"/>
      </w:pPr>
      <w:r>
        <w:rPr>
          <w:rFonts w:ascii="Times New Roman"/>
          <w:b w:val="false"/>
          <w:i w:val="false"/>
          <w:color w:val="000000"/>
          <w:sz w:val="28"/>
        </w:rPr>
        <w:t>
      Права и обязанности заявителя проекта:</w:t>
      </w:r>
    </w:p>
    <w:p>
      <w:pPr>
        <w:spacing w:after="0"/>
        <w:ind w:left="0"/>
        <w:jc w:val="both"/>
      </w:pPr>
      <w:r>
        <w:rPr>
          <w:rFonts w:ascii="Times New Roman"/>
          <w:b w:val="false"/>
          <w:i w:val="false"/>
          <w:color w:val="000000"/>
          <w:sz w:val="28"/>
        </w:rPr>
        <w:t>
      9. Реализовывать проекты углеродных офсетов на участках государственного лесного фонда, согласно требованиям, установленным настоящими Правилами.</w:t>
      </w:r>
    </w:p>
    <w:p>
      <w:pPr>
        <w:spacing w:after="0"/>
        <w:ind w:left="0"/>
        <w:jc w:val="both"/>
      </w:pPr>
      <w:r>
        <w:rPr>
          <w:rFonts w:ascii="Times New Roman"/>
          <w:b w:val="false"/>
          <w:i w:val="false"/>
          <w:color w:val="000000"/>
          <w:sz w:val="28"/>
        </w:rPr>
        <w:t>
      10. Запрашивать у Государственного лесовладельца разъяснения относительно проведения работ по посадке в рамках условий Договора и действующих нормативно-правовых актов в области лесного хозяйства.</w:t>
      </w:r>
    </w:p>
    <w:p>
      <w:pPr>
        <w:spacing w:after="0"/>
        <w:ind w:left="0"/>
        <w:jc w:val="both"/>
      </w:pPr>
      <w:r>
        <w:rPr>
          <w:rFonts w:ascii="Times New Roman"/>
          <w:b w:val="false"/>
          <w:i w:val="false"/>
          <w:color w:val="000000"/>
          <w:sz w:val="28"/>
        </w:rPr>
        <w:t>
      11. Запрашивать сведения об обеспечении исполнения требований нормативно-правовых актов в местах проведения посадки в целях исключения нарушений лесного и природоохранного законодательства.</w:t>
      </w:r>
    </w:p>
    <w:p>
      <w:pPr>
        <w:spacing w:after="0"/>
        <w:ind w:left="0"/>
        <w:jc w:val="both"/>
      </w:pPr>
      <w:r>
        <w:rPr>
          <w:rFonts w:ascii="Times New Roman"/>
          <w:b w:val="false"/>
          <w:i w:val="false"/>
          <w:color w:val="000000"/>
          <w:sz w:val="28"/>
        </w:rPr>
        <w:t>
      12. Соблюдать условия настоящего Договора.</w:t>
      </w:r>
    </w:p>
    <w:p>
      <w:pPr>
        <w:spacing w:after="0"/>
        <w:ind w:left="0"/>
        <w:jc w:val="both"/>
      </w:pPr>
      <w:r>
        <w:rPr>
          <w:rFonts w:ascii="Times New Roman"/>
          <w:b w:val="false"/>
          <w:i w:val="false"/>
          <w:color w:val="000000"/>
          <w:sz w:val="28"/>
        </w:rPr>
        <w:t>
      13. Осуществлять оплату согласно пункту 5 Договора.</w:t>
      </w:r>
    </w:p>
    <w:p>
      <w:pPr>
        <w:spacing w:after="0"/>
        <w:ind w:left="0"/>
        <w:jc w:val="both"/>
      </w:pPr>
      <w:r>
        <w:rPr>
          <w:rFonts w:ascii="Times New Roman"/>
          <w:b w:val="false"/>
          <w:i w:val="false"/>
          <w:color w:val="000000"/>
          <w:sz w:val="28"/>
        </w:rPr>
        <w:t>
      14. Не допускать нанесение вреда государственному лесного фонду, животному миру и местному населению.</w:t>
      </w:r>
    </w:p>
    <w:p>
      <w:pPr>
        <w:spacing w:after="0"/>
        <w:ind w:left="0"/>
        <w:jc w:val="both"/>
      </w:pPr>
      <w:r>
        <w:rPr>
          <w:rFonts w:ascii="Times New Roman"/>
          <w:b w:val="false"/>
          <w:i w:val="false"/>
          <w:color w:val="000000"/>
          <w:sz w:val="28"/>
        </w:rPr>
        <w:t>
      15. Заявитель самостоятельно осуществляет покупку и организацию поставки посадочного материала, проводит полевые работы с привлечением работников Государственного лесовладельца.</w:t>
      </w:r>
    </w:p>
    <w:p>
      <w:pPr>
        <w:spacing w:after="0"/>
        <w:ind w:left="0"/>
        <w:jc w:val="both"/>
      </w:pPr>
      <w:r>
        <w:rPr>
          <w:rFonts w:ascii="Times New Roman"/>
          <w:b w:val="false"/>
          <w:i w:val="false"/>
          <w:color w:val="000000"/>
          <w:sz w:val="28"/>
        </w:rPr>
        <w:t>
      16. Заявитель проекта обязуется обеспечить дополнительность реализуемого проекта углеродного офсета. Дополнительность считается доказанной, если проект не является обязательным в соответствии с действующим законодательством Республики Казахстан, не финансировался ранее за счет государственных программ, а также если имеются расчеты, подтверждающие объем поглощения запаса углерода. Для подтверждения дополнительности Заявитель проекта предоставляет анализ базового сценария.</w:t>
      </w:r>
    </w:p>
    <w:p>
      <w:pPr>
        <w:spacing w:after="0"/>
        <w:ind w:left="0"/>
        <w:jc w:val="both"/>
      </w:pPr>
      <w:r>
        <w:rPr>
          <w:rFonts w:ascii="Times New Roman"/>
          <w:b w:val="false"/>
          <w:i w:val="false"/>
          <w:color w:val="000000"/>
          <w:sz w:val="28"/>
        </w:rPr>
        <w:t>
      17. Заявитель проекта обязуется обеспечить высокое качество реализации проекта. Качество проекта подтверждается разработкой проектной документации в соответствии с настоящими Правилами, а также реализацией механизмов предотвращения утраты накопленного углерода (например, в результате пожаров, незаконные рубки или иных рисков). Участки, включенные в проект, не должны использоваться для иных целей, препятствующих долговременному и устойчивому поглощению углерода.</w:t>
      </w:r>
    </w:p>
    <w:p>
      <w:pPr>
        <w:spacing w:after="0"/>
        <w:ind w:left="0"/>
        <w:jc w:val="left"/>
      </w:pPr>
      <w:r>
        <w:rPr>
          <w:rFonts w:ascii="Times New Roman"/>
          <w:b/>
          <w:i w:val="false"/>
          <w:color w:val="000000"/>
        </w:rPr>
        <w:t xml:space="preserve"> 3. Ответственность сторон</w:t>
      </w:r>
    </w:p>
    <w:p>
      <w:pPr>
        <w:spacing w:after="0"/>
        <w:ind w:left="0"/>
        <w:jc w:val="both"/>
      </w:pPr>
      <w:r>
        <w:rPr>
          <w:rFonts w:ascii="Times New Roman"/>
          <w:b w:val="false"/>
          <w:i w:val="false"/>
          <w:color w:val="000000"/>
          <w:sz w:val="28"/>
        </w:rPr>
        <w:t>
      18.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w:t>
      </w:r>
    </w:p>
    <w:p>
      <w:pPr>
        <w:spacing w:after="0"/>
        <w:ind w:left="0"/>
        <w:jc w:val="left"/>
      </w:pPr>
      <w:r>
        <w:rPr>
          <w:rFonts w:ascii="Times New Roman"/>
          <w:b/>
          <w:i w:val="false"/>
          <w:color w:val="000000"/>
        </w:rPr>
        <w:t xml:space="preserve"> 4. Форс-мажор</w:t>
      </w:r>
    </w:p>
    <w:p>
      <w:pPr>
        <w:spacing w:after="0"/>
        <w:ind w:left="0"/>
        <w:jc w:val="both"/>
      </w:pPr>
      <w:r>
        <w:rPr>
          <w:rFonts w:ascii="Times New Roman"/>
          <w:b w:val="false"/>
          <w:i w:val="false"/>
          <w:color w:val="000000"/>
          <w:sz w:val="28"/>
        </w:rPr>
        <w:t>
      19.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таких как стихийные бедствия, войны, забастовки и другие обстоятельства, находящиеся вне контроля сторон.</w:t>
      </w:r>
    </w:p>
    <w:p>
      <w:pPr>
        <w:spacing w:after="0"/>
        <w:ind w:left="0"/>
        <w:jc w:val="left"/>
      </w:pPr>
      <w:r>
        <w:rPr>
          <w:rFonts w:ascii="Times New Roman"/>
          <w:b/>
          <w:i w:val="false"/>
          <w:color w:val="000000"/>
        </w:rPr>
        <w:t xml:space="preserve"> 5. Порядок рассмотрения споров</w:t>
      </w:r>
    </w:p>
    <w:p>
      <w:pPr>
        <w:spacing w:after="0"/>
        <w:ind w:left="0"/>
        <w:jc w:val="both"/>
      </w:pPr>
      <w:r>
        <w:rPr>
          <w:rFonts w:ascii="Times New Roman"/>
          <w:b w:val="false"/>
          <w:i w:val="false"/>
          <w:color w:val="000000"/>
          <w:sz w:val="28"/>
        </w:rPr>
        <w:t>
      20. Все споры и разногласия, возникшие в связи с исполнением настоящего Договора, разрешаются путем переговоров и заключения дополнительного соглашения. При несогласии сторон споры подлежат рассмотрению в судебном порядке в соответствии с законодательством Республики Казахстан.</w:t>
      </w:r>
    </w:p>
    <w:p>
      <w:pPr>
        <w:spacing w:after="0"/>
        <w:ind w:left="0"/>
        <w:jc w:val="left"/>
      </w:pPr>
      <w:r>
        <w:rPr>
          <w:rFonts w:ascii="Times New Roman"/>
          <w:b/>
          <w:i w:val="false"/>
          <w:color w:val="000000"/>
        </w:rPr>
        <w:t xml:space="preserve"> 6. Прочие условия</w:t>
      </w:r>
    </w:p>
    <w:p>
      <w:pPr>
        <w:spacing w:after="0"/>
        <w:ind w:left="0"/>
        <w:jc w:val="both"/>
      </w:pPr>
      <w:r>
        <w:rPr>
          <w:rFonts w:ascii="Times New Roman"/>
          <w:b w:val="false"/>
          <w:i w:val="false"/>
          <w:color w:val="000000"/>
          <w:sz w:val="28"/>
        </w:rPr>
        <w:t>
      21. Все изменения и дополнения к настоящему договору действительны только в случае, если они оформлены в письменной форме и подписаны обеими сторонами.</w:t>
      </w:r>
    </w:p>
    <w:p>
      <w:pPr>
        <w:spacing w:after="0"/>
        <w:ind w:left="0"/>
        <w:jc w:val="both"/>
      </w:pPr>
      <w:r>
        <w:rPr>
          <w:rFonts w:ascii="Times New Roman"/>
          <w:b w:val="false"/>
          <w:i w:val="false"/>
          <w:color w:val="000000"/>
          <w:sz w:val="28"/>
        </w:rPr>
        <w:t>
      22. Настоящий договор составлен в двух экземплярах, по одному для каждой из сторон, имеющих равную юридическую силу.</w:t>
      </w:r>
    </w:p>
    <w:p>
      <w:pPr>
        <w:spacing w:after="0"/>
        <w:ind w:left="0"/>
        <w:jc w:val="left"/>
      </w:pPr>
      <w:r>
        <w:rPr>
          <w:rFonts w:ascii="Times New Roman"/>
          <w:b/>
          <w:i w:val="false"/>
          <w:color w:val="000000"/>
        </w:rPr>
        <w:t xml:space="preserve"> 7. Действия договора</w:t>
      </w:r>
    </w:p>
    <w:p>
      <w:pPr>
        <w:spacing w:after="0"/>
        <w:ind w:left="0"/>
        <w:jc w:val="both"/>
      </w:pPr>
      <w:r>
        <w:rPr>
          <w:rFonts w:ascii="Times New Roman"/>
          <w:b w:val="false"/>
          <w:i w:val="false"/>
          <w:color w:val="000000"/>
          <w:sz w:val="28"/>
        </w:rPr>
        <w:t>
      23. Настоящий Договор вступает силу со дня его подписания и действует на срок установленном пунктом 1 настоящего Договора.</w:t>
      </w:r>
    </w:p>
    <w:p>
      <w:pPr>
        <w:spacing w:after="0"/>
        <w:ind w:left="0"/>
        <w:jc w:val="left"/>
      </w:pPr>
      <w:r>
        <w:rPr>
          <w:rFonts w:ascii="Times New Roman"/>
          <w:b/>
          <w:i w:val="false"/>
          <w:color w:val="000000"/>
        </w:rPr>
        <w:t xml:space="preserve"> 8. Юридические адреса и банковские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лесовладелец</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юридического лица)</w:t>
            </w:r>
          </w:p>
          <w:p>
            <w:pPr>
              <w:spacing w:after="20"/>
              <w:ind w:left="20"/>
              <w:jc w:val="both"/>
            </w:pPr>
            <w:r>
              <w:rPr>
                <w:rFonts w:ascii="Times New Roman"/>
                <w:b w:val="false"/>
                <w:i w:val="false"/>
                <w:color w:val="000000"/>
                <w:sz w:val="20"/>
              </w:rPr>
              <w:t>Месторасположение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Расчетный счет 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физического или юридического лица)</w:t>
            </w:r>
          </w:p>
          <w:p>
            <w:pPr>
              <w:spacing w:after="20"/>
              <w:ind w:left="20"/>
              <w:jc w:val="both"/>
            </w:pPr>
            <w:r>
              <w:rPr>
                <w:rFonts w:ascii="Times New Roman"/>
                <w:b w:val="false"/>
                <w:i w:val="false"/>
                <w:color w:val="000000"/>
                <w:sz w:val="20"/>
              </w:rPr>
              <w:t>Месторасположение 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ИИН или БИН ____________________</w:t>
            </w:r>
          </w:p>
          <w:p>
            <w:pPr>
              <w:spacing w:after="20"/>
              <w:ind w:left="20"/>
              <w:jc w:val="both"/>
            </w:pPr>
            <w:r>
              <w:rPr>
                <w:rFonts w:ascii="Times New Roman"/>
                <w:b w:val="false"/>
                <w:i w:val="false"/>
                <w:color w:val="000000"/>
                <w:sz w:val="20"/>
              </w:rPr>
              <w:t>Расчетный счет 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Место печати (при наличии)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