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6d65" w14:textId="c486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3 октября 2021 года № 538. Зарегистрирован в Министерстве юстиции Республики Казахстан 15 октября 2021 года № 247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 (зарегистрирован в Реестре государственной регистрации нормативных правовых актов за № 153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еорологического обеспечения гражда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. В сводках METAR и SPECI, дополнительно включается информация о температуре поверхности моря и состоянии моря или значительной высоте волн с авиационных метеорологических станций, установленных на сооружениях в открытом море в целях обеспечения полетов вертоле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. Специальные наблюдения проводятся с борта воздушных судов, если наблюдаются следующие услов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ренная и сильная турбулентность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ренное и сильное обледенени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льная горная вол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озы без града, скрытые, маскированные, обложные или по линии шквал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озы с градом, скрытые, маскированные, обложные или по линии шквал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льная пыльная или сильная песчаная бур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ко вулканического пепл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ическая эффективность торможения на ВПП, хуже сообщенной ране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полнительные наблюдения и информация, включаемая в сводки погод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бортовой погод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характеристик ветра на высоте круга и 100 метр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беспечение метеорологическими материалами при расследованиях авиационных происшествий или инцидентов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етеорологических документов для расслед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 метеорологических документов по расследованию авиационного происшествия или инциден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ожений к Инструкции по метеорологическому обеспечению полетов на аэродром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. Порядок распространения метеорологической информации на аэродром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. Схема размещения метеорологического оборудования на аэродроме с указанием удаления от порога и оси ВПП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. Таблица состава и мест установки метеорологического оборудования на аэродром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. Схемы естественных ориентиров видимости (дневных и при необходимости ночных) и щитов – ориентиров (при наличии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. Схема обслуживаемого района ОВД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. Схема обслуживаемого района МДП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. Таблица расчета дальности видимости на ВПП (при ее наличии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регистрации изменений и дополнен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Инструкцию по метеорологическому обеспечению полетов могут быть включены другие процедуры, связанные с выполнением функций, возложенных ПАНО на конкретный АМО/ОМС в соответствии с положениями настоящих Правил.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обеспечить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ноября 2021 года и подлежит официальному опубликованию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