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21172" w14:textId="cf211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нормативов допустимого антропогенного воздействия на атмосферный воздух</w:t>
      </w:r>
    </w:p>
    <w:p>
      <w:pPr>
        <w:spacing w:after="0"/>
        <w:ind w:left="0"/>
        <w:jc w:val="both"/>
      </w:pPr>
      <w:r>
        <w:rPr>
          <w:rFonts w:ascii="Times New Roman"/>
          <w:b w:val="false"/>
          <w:i w:val="false"/>
          <w:color w:val="000000"/>
          <w:sz w:val="28"/>
        </w:rPr>
        <w:t>Приказ Министра экологии, геологии и природных ресурсов Республики Казахстан от 14 сентября 2021 года № 375. Зарегистрирован в Министерстве юстиции Республики Казахстан 22 сентября 2021 года № 24462.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201 Экологического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определения нормативов допустимого антропогенного воздействия на атмосферный воздух.</w:t>
      </w:r>
    </w:p>
    <w:bookmarkEnd w:id="1"/>
    <w:bookmarkStart w:name="z6" w:id="2"/>
    <w:p>
      <w:pPr>
        <w:spacing w:after="0"/>
        <w:ind w:left="0"/>
        <w:jc w:val="both"/>
      </w:pPr>
      <w:r>
        <w:rPr>
          <w:rFonts w:ascii="Times New Roman"/>
          <w:b w:val="false"/>
          <w:i w:val="false"/>
          <w:color w:val="000000"/>
          <w:sz w:val="28"/>
        </w:rPr>
        <w:t>
      2. Комитету экологического регулирования и контроля Министерства экологии, геологии и природных ресурсов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 геологии</w:t>
            </w:r>
          </w:p>
          <w:p>
            <w:pPr>
              <w:spacing w:after="20"/>
              <w:ind w:left="20"/>
              <w:jc w:val="both"/>
            </w:pPr>
          </w:p>
          <w:p>
            <w:pPr>
              <w:spacing w:after="20"/>
              <w:ind w:left="20"/>
              <w:jc w:val="both"/>
            </w:pPr>
            <w:r>
              <w:rPr>
                <w:rFonts w:ascii="Times New Roman"/>
                <w:b w:val="false"/>
                <w:i/>
                <w:color w:val="000000"/>
                <w:sz w:val="20"/>
              </w:rPr>
              <w:t>и природных ресурсов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 xml:space="preserve">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2021 года № 375</w:t>
            </w:r>
          </w:p>
        </w:tc>
      </w:tr>
    </w:tbl>
    <w:bookmarkStart w:name="z22" w:id="16"/>
    <w:p>
      <w:pPr>
        <w:spacing w:after="0"/>
        <w:ind w:left="0"/>
        <w:jc w:val="left"/>
      </w:pPr>
      <w:r>
        <w:rPr>
          <w:rFonts w:ascii="Times New Roman"/>
          <w:b/>
          <w:i w:val="false"/>
          <w:color w:val="000000"/>
        </w:rPr>
        <w:t xml:space="preserve"> Правила определения нормативов допустимого антропогенного воздействия на атмосферный воздух</w:t>
      </w:r>
    </w:p>
    <w:bookmarkEnd w:id="16"/>
    <w:p>
      <w:pPr>
        <w:spacing w:after="0"/>
        <w:ind w:left="0"/>
        <w:jc w:val="both"/>
      </w:pPr>
      <w:r>
        <w:rPr>
          <w:rFonts w:ascii="Times New Roman"/>
          <w:b w:val="false"/>
          <w:i w:val="false"/>
          <w:color w:val="ff0000"/>
          <w:sz w:val="28"/>
        </w:rPr>
        <w:t xml:space="preserve">
      Сноска. Правила – в редакции приказа и.о. Министра экологии и природных ресурсов РК от 18.07.2025 </w:t>
      </w:r>
      <w:r>
        <w:rPr>
          <w:rFonts w:ascii="Times New Roman"/>
          <w:b w:val="false"/>
          <w:i w:val="false"/>
          <w:color w:val="ff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 w:id="17"/>
    <w:p>
      <w:pPr>
        <w:spacing w:after="0"/>
        <w:ind w:left="0"/>
        <w:jc w:val="left"/>
      </w:pPr>
      <w:r>
        <w:rPr>
          <w:rFonts w:ascii="Times New Roman"/>
          <w:b/>
          <w:i w:val="false"/>
          <w:color w:val="000000"/>
        </w:rPr>
        <w:t xml:space="preserve"> Глава 1. Общие положения</w:t>
      </w:r>
    </w:p>
    <w:bookmarkEnd w:id="17"/>
    <w:bookmarkStart w:name="z24" w:id="18"/>
    <w:p>
      <w:pPr>
        <w:spacing w:after="0"/>
        <w:ind w:left="0"/>
        <w:jc w:val="both"/>
      </w:pPr>
      <w:r>
        <w:rPr>
          <w:rFonts w:ascii="Times New Roman"/>
          <w:b w:val="false"/>
          <w:i w:val="false"/>
          <w:color w:val="000000"/>
          <w:sz w:val="28"/>
        </w:rPr>
        <w:t xml:space="preserve">
      1. Настоящие Правила определения нормативов допустимого антропогенного воздействия на атмосферный воздух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201 Экологического кодекса Республики Казахстан (далее – Кодекс) и определяют порядок установления нормативов антропогенного воздействия на атмосферный воздух.</w:t>
      </w:r>
    </w:p>
    <w:bookmarkEnd w:id="18"/>
    <w:bookmarkStart w:name="z25" w:id="19"/>
    <w:p>
      <w:pPr>
        <w:spacing w:after="0"/>
        <w:ind w:left="0"/>
        <w:jc w:val="both"/>
      </w:pPr>
      <w:r>
        <w:rPr>
          <w:rFonts w:ascii="Times New Roman"/>
          <w:b w:val="false"/>
          <w:i w:val="false"/>
          <w:color w:val="000000"/>
          <w:sz w:val="28"/>
        </w:rPr>
        <w:t>
      2. Основные понятия и определения, используемые в Правилах:</w:t>
      </w:r>
    </w:p>
    <w:bookmarkEnd w:id="19"/>
    <w:bookmarkStart w:name="z26" w:id="20"/>
    <w:p>
      <w:pPr>
        <w:spacing w:after="0"/>
        <w:ind w:left="0"/>
        <w:jc w:val="both"/>
      </w:pPr>
      <w:r>
        <w:rPr>
          <w:rFonts w:ascii="Times New Roman"/>
          <w:b w:val="false"/>
          <w:i w:val="false"/>
          <w:color w:val="000000"/>
          <w:sz w:val="28"/>
        </w:rPr>
        <w:t>
      1) заключение по наилучшим доступным техникам – разрешительный документ уполномоченного органа в области охраны окружающей среды, утвержденного на основании справочников по наилучшим доступным техникам и включающего следующие положения: выводы по наилучшим доступным техникам; описание наилучших доступных техник; информацию, необходимую для оценки применимости наилучших доступных техник; уровни эмиссий, связанные с применением наилучших доступных техник; иные технологические показатели, связанные с применением наилучших доступных техник, в том числе уровни потребления энергетических, водных и иных ресурсов; требования по мониторингу, связанные с применением наилучших доступных техник; требования по рекомендации;</w:t>
      </w:r>
    </w:p>
    <w:bookmarkEnd w:id="20"/>
    <w:bookmarkStart w:name="z27" w:id="21"/>
    <w:p>
      <w:pPr>
        <w:spacing w:after="0"/>
        <w:ind w:left="0"/>
        <w:jc w:val="both"/>
      </w:pPr>
      <w:r>
        <w:rPr>
          <w:rFonts w:ascii="Times New Roman"/>
          <w:b w:val="false"/>
          <w:i w:val="false"/>
          <w:color w:val="000000"/>
          <w:sz w:val="28"/>
        </w:rPr>
        <w:t>
      2) наилучшие доступные техники (далее – НДТ) – наиболее эффективная и передовая стадия развития видов деятельности и методов их осуществления, которая свидетельствует об их практической пригодности для того, чтобы служить основой установления технологических нормативов и иных экологических условий, направленных на предотвращение или, если это практически неосуществимо, минимизацию негативного антропогенного воздействия на окружающую среду;</w:t>
      </w:r>
    </w:p>
    <w:bookmarkEnd w:id="21"/>
    <w:bookmarkStart w:name="z28" w:id="22"/>
    <w:p>
      <w:pPr>
        <w:spacing w:after="0"/>
        <w:ind w:left="0"/>
        <w:jc w:val="both"/>
      </w:pPr>
      <w:r>
        <w:rPr>
          <w:rFonts w:ascii="Times New Roman"/>
          <w:b w:val="false"/>
          <w:i w:val="false"/>
          <w:color w:val="000000"/>
          <w:sz w:val="28"/>
        </w:rPr>
        <w:t>
      3) маркерные загрязняющие вещества – наиболее значимые для эмиссий конкретного вида производства или технологического процесса загрязняющие вещества, которые выбираются из группы характерных для такого производства или технологического процесса загрязняющих веществ и с помощью которых возможно оценить значения эмиссий всех загрязняющих веществ, входящих в группу;</w:t>
      </w:r>
    </w:p>
    <w:bookmarkEnd w:id="22"/>
    <w:bookmarkStart w:name="z29" w:id="23"/>
    <w:p>
      <w:pPr>
        <w:spacing w:after="0"/>
        <w:ind w:left="0"/>
        <w:jc w:val="both"/>
      </w:pPr>
      <w:r>
        <w:rPr>
          <w:rFonts w:ascii="Times New Roman"/>
          <w:b w:val="false"/>
          <w:i w:val="false"/>
          <w:color w:val="000000"/>
          <w:sz w:val="28"/>
        </w:rPr>
        <w:t xml:space="preserve">
      4) объект технологического нормирования – объект, оказывающий антропогенное воздействие, а также, его части, на которых реализуется или планируется реализация хозяйственной деятельности, в отношении которой в справочниках по НДТ описаны идентичные технологические процессы; </w:t>
      </w:r>
    </w:p>
    <w:bookmarkEnd w:id="23"/>
    <w:bookmarkStart w:name="z30" w:id="24"/>
    <w:p>
      <w:pPr>
        <w:spacing w:after="0"/>
        <w:ind w:left="0"/>
        <w:jc w:val="both"/>
      </w:pPr>
      <w:r>
        <w:rPr>
          <w:rFonts w:ascii="Times New Roman"/>
          <w:b w:val="false"/>
          <w:i w:val="false"/>
          <w:color w:val="000000"/>
          <w:sz w:val="28"/>
        </w:rPr>
        <w:t xml:space="preserve">
      5) техника – используемые технологии, способы, методы, процессы, практики, подходы и решения, применяемые к проектированию, строительству, обслуживанию, эксплуатации, управлению и выводу из эксплуатации объекта; </w:t>
      </w:r>
    </w:p>
    <w:bookmarkEnd w:id="24"/>
    <w:bookmarkStart w:name="z31" w:id="25"/>
    <w:p>
      <w:pPr>
        <w:spacing w:after="0"/>
        <w:ind w:left="0"/>
        <w:jc w:val="both"/>
      </w:pPr>
      <w:r>
        <w:rPr>
          <w:rFonts w:ascii="Times New Roman"/>
          <w:b w:val="false"/>
          <w:i w:val="false"/>
          <w:color w:val="000000"/>
          <w:sz w:val="28"/>
        </w:rPr>
        <w:t>
      6) технологический норматив – экологические нормативы, устанавливаемые в комплексном экологическом разрешении в виде: предельного количества (массы) маркерных загрязняющих веществ на единицу объема эмиссий; количества потребления электрической и (или) тепловой энергии, иных ресурсов в расчете на единицу времени или единицу производимой продукции (товара), выполняемой работы, оказываемой услуги;</w:t>
      </w:r>
    </w:p>
    <w:bookmarkEnd w:id="25"/>
    <w:bookmarkStart w:name="z32" w:id="26"/>
    <w:p>
      <w:pPr>
        <w:spacing w:after="0"/>
        <w:ind w:left="0"/>
        <w:jc w:val="both"/>
      </w:pPr>
      <w:r>
        <w:rPr>
          <w:rFonts w:ascii="Times New Roman"/>
          <w:b w:val="false"/>
          <w:i w:val="false"/>
          <w:color w:val="000000"/>
          <w:sz w:val="28"/>
        </w:rPr>
        <w:t>
      7) нормативы допустимого физического воздействия на природную среду - экологический норматив, который устанавливается для каждого источника в виде допустимых уровней воздействия тепла, шума, вибрации, ионизирующего излучения, напряженности электромагнитных полей и иных физических воздействий на компоненты природной среды, при которых негативное физическое воздействие от такого источника в совокупности со всеми другими источниками не приведет к превышению установленных предельно допустимых уровней физических воздействий на природную среду;</w:t>
      </w:r>
    </w:p>
    <w:bookmarkEnd w:id="26"/>
    <w:bookmarkStart w:name="z33" w:id="27"/>
    <w:p>
      <w:pPr>
        <w:spacing w:after="0"/>
        <w:ind w:left="0"/>
        <w:jc w:val="both"/>
      </w:pPr>
      <w:r>
        <w:rPr>
          <w:rFonts w:ascii="Times New Roman"/>
          <w:b w:val="false"/>
          <w:i w:val="false"/>
          <w:color w:val="000000"/>
          <w:sz w:val="28"/>
        </w:rPr>
        <w:t>
      8) предельно допустимый уровень негативного физического воздействия (далее – ПДУ) – максимальный уровень отдельных видов физического воздействия (шума, вибрации, электрических, электромагнитных, магнитных полей, радиации, тепла) установленный для круглосуточного воздействия на население, при котором отсутствует вредное воздействие на состояние животных, растений, экологических систем и биоразнообразия.</w:t>
      </w:r>
    </w:p>
    <w:bookmarkEnd w:id="27"/>
    <w:bookmarkStart w:name="z34" w:id="28"/>
    <w:p>
      <w:pPr>
        <w:spacing w:after="0"/>
        <w:ind w:left="0"/>
        <w:jc w:val="left"/>
      </w:pPr>
      <w:r>
        <w:rPr>
          <w:rFonts w:ascii="Times New Roman"/>
          <w:b/>
          <w:i w:val="false"/>
          <w:color w:val="000000"/>
        </w:rPr>
        <w:t xml:space="preserve"> Глава 2. Порядок определения нормативов допустимого антропогенного воздействия на атмосферный воздух</w:t>
      </w:r>
    </w:p>
    <w:bookmarkEnd w:id="28"/>
    <w:bookmarkStart w:name="z35" w:id="29"/>
    <w:p>
      <w:pPr>
        <w:spacing w:after="0"/>
        <w:ind w:left="0"/>
        <w:jc w:val="both"/>
      </w:pPr>
      <w:r>
        <w:rPr>
          <w:rFonts w:ascii="Times New Roman"/>
          <w:b w:val="false"/>
          <w:i w:val="false"/>
          <w:color w:val="000000"/>
          <w:sz w:val="28"/>
        </w:rPr>
        <w:t xml:space="preserve">
      3.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201 Кодекса нормативы допустимого антропогенного воздействия на атмосферный воздух включают в себя: </w:t>
      </w:r>
    </w:p>
    <w:bookmarkEnd w:id="29"/>
    <w:bookmarkStart w:name="z36" w:id="30"/>
    <w:p>
      <w:pPr>
        <w:spacing w:after="0"/>
        <w:ind w:left="0"/>
        <w:jc w:val="both"/>
      </w:pPr>
      <w:r>
        <w:rPr>
          <w:rFonts w:ascii="Times New Roman"/>
          <w:b w:val="false"/>
          <w:i w:val="false"/>
          <w:color w:val="000000"/>
          <w:sz w:val="28"/>
        </w:rPr>
        <w:t>
      нормативы допустимых выбросов;</w:t>
      </w:r>
    </w:p>
    <w:bookmarkEnd w:id="30"/>
    <w:bookmarkStart w:name="z37" w:id="31"/>
    <w:p>
      <w:pPr>
        <w:spacing w:after="0"/>
        <w:ind w:left="0"/>
        <w:jc w:val="both"/>
      </w:pPr>
      <w:r>
        <w:rPr>
          <w:rFonts w:ascii="Times New Roman"/>
          <w:b w:val="false"/>
          <w:i w:val="false"/>
          <w:color w:val="000000"/>
          <w:sz w:val="28"/>
        </w:rPr>
        <w:t>
      технологические нормативы выбросов;</w:t>
      </w:r>
    </w:p>
    <w:bookmarkEnd w:id="31"/>
    <w:bookmarkStart w:name="z38" w:id="32"/>
    <w:p>
      <w:pPr>
        <w:spacing w:after="0"/>
        <w:ind w:left="0"/>
        <w:jc w:val="both"/>
      </w:pPr>
      <w:r>
        <w:rPr>
          <w:rFonts w:ascii="Times New Roman"/>
          <w:b w:val="false"/>
          <w:i w:val="false"/>
          <w:color w:val="000000"/>
          <w:sz w:val="28"/>
        </w:rPr>
        <w:t>
      нормативы допустимых физических воздействий на атмосферный воздух.</w:t>
      </w:r>
    </w:p>
    <w:bookmarkEnd w:id="32"/>
    <w:bookmarkStart w:name="z39" w:id="33"/>
    <w:p>
      <w:pPr>
        <w:spacing w:after="0"/>
        <w:ind w:left="0"/>
        <w:jc w:val="left"/>
      </w:pPr>
      <w:r>
        <w:rPr>
          <w:rFonts w:ascii="Times New Roman"/>
          <w:b/>
          <w:i w:val="false"/>
          <w:color w:val="000000"/>
        </w:rPr>
        <w:t xml:space="preserve"> Параграф 1. Нормативы допустимых выбросов</w:t>
      </w:r>
    </w:p>
    <w:bookmarkEnd w:id="33"/>
    <w:bookmarkStart w:name="z40" w:id="34"/>
    <w:p>
      <w:pPr>
        <w:spacing w:after="0"/>
        <w:ind w:left="0"/>
        <w:jc w:val="both"/>
      </w:pPr>
      <w:r>
        <w:rPr>
          <w:rFonts w:ascii="Times New Roman"/>
          <w:b w:val="false"/>
          <w:i w:val="false"/>
          <w:color w:val="000000"/>
          <w:sz w:val="28"/>
        </w:rPr>
        <w:t xml:space="preserve">
      4. Определение нормативов допустимых выбросов осуществляется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 xml:space="preserve"> и Методики определения нормативов эмиссии в окружающую среду,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10 марта 2021 года № 63 (зарегистрирован в Реестре государственной регистрации нормативных правовых актов № 22317).</w:t>
      </w:r>
    </w:p>
    <w:bookmarkEnd w:id="34"/>
    <w:bookmarkStart w:name="z41" w:id="35"/>
    <w:p>
      <w:pPr>
        <w:spacing w:after="0"/>
        <w:ind w:left="0"/>
        <w:jc w:val="left"/>
      </w:pPr>
      <w:r>
        <w:rPr>
          <w:rFonts w:ascii="Times New Roman"/>
          <w:b/>
          <w:i w:val="false"/>
          <w:color w:val="000000"/>
        </w:rPr>
        <w:t xml:space="preserve"> Параграф 2. Технологические нормативы выбросов</w:t>
      </w:r>
    </w:p>
    <w:bookmarkEnd w:id="35"/>
    <w:bookmarkStart w:name="z42" w:id="36"/>
    <w:p>
      <w:pPr>
        <w:spacing w:after="0"/>
        <w:ind w:left="0"/>
        <w:jc w:val="both"/>
      </w:pPr>
      <w:r>
        <w:rPr>
          <w:rFonts w:ascii="Times New Roman"/>
          <w:b w:val="false"/>
          <w:i w:val="false"/>
          <w:color w:val="000000"/>
          <w:sz w:val="28"/>
        </w:rPr>
        <w:t>
      5. Технологические нормативы выбросов устанавливаются в комплексном экологическом разрешении и не превышают соответствующие технологические показатели (при их наличии), связанные с применением НДТ по конкретным областям их применения, установленные в заключениях по НДТ.</w:t>
      </w:r>
    </w:p>
    <w:bookmarkEnd w:id="36"/>
    <w:bookmarkStart w:name="z43" w:id="37"/>
    <w:p>
      <w:pPr>
        <w:spacing w:after="0"/>
        <w:ind w:left="0"/>
        <w:jc w:val="both"/>
      </w:pPr>
      <w:r>
        <w:rPr>
          <w:rFonts w:ascii="Times New Roman"/>
          <w:b w:val="false"/>
          <w:i w:val="false"/>
          <w:color w:val="000000"/>
          <w:sz w:val="28"/>
        </w:rPr>
        <w:t>
      Технологические нормативы выбросов устанавливаются для условий нормального функционирования эксплуатации стационарных источников, входящих в состав объекта I или II категорий, с учетом перспективы развития, то есть загрузки оборудования и режимов его эксплуатации, в том числе систем и устройств вентиляции и пылегазоочистного оборудования, предусмотренных технологическим регламентом.</w:t>
      </w:r>
    </w:p>
    <w:bookmarkEnd w:id="37"/>
    <w:bookmarkStart w:name="z44" w:id="38"/>
    <w:p>
      <w:pPr>
        <w:spacing w:after="0"/>
        <w:ind w:left="0"/>
        <w:jc w:val="both"/>
      </w:pPr>
      <w:r>
        <w:rPr>
          <w:rFonts w:ascii="Times New Roman"/>
          <w:b w:val="false"/>
          <w:i w:val="false"/>
          <w:color w:val="000000"/>
          <w:sz w:val="28"/>
        </w:rPr>
        <w:t xml:space="preserve">
      При этом, технологические нормативы выбросов не устанавливаются, для: </w:t>
      </w:r>
    </w:p>
    <w:bookmarkEnd w:id="38"/>
    <w:bookmarkStart w:name="z45" w:id="39"/>
    <w:p>
      <w:pPr>
        <w:spacing w:after="0"/>
        <w:ind w:left="0"/>
        <w:jc w:val="both"/>
      </w:pPr>
      <w:r>
        <w:rPr>
          <w:rFonts w:ascii="Times New Roman"/>
          <w:b w:val="false"/>
          <w:i w:val="false"/>
          <w:color w:val="000000"/>
          <w:sz w:val="28"/>
        </w:rPr>
        <w:t xml:space="preserve">
      производственных операций по разведке нефтяных/газовых/нефтегазовых, газоконденсатных месторождений, твердых полезных ископаемых (промыслово-геофизические исследования, поисково-оценочные работы, разведочные и геологоразведочные работы, геологические и сейсмические исследования); </w:t>
      </w:r>
    </w:p>
    <w:bookmarkEnd w:id="39"/>
    <w:bookmarkStart w:name="z46" w:id="40"/>
    <w:p>
      <w:pPr>
        <w:spacing w:after="0"/>
        <w:ind w:left="0"/>
        <w:jc w:val="both"/>
      </w:pPr>
      <w:r>
        <w:rPr>
          <w:rFonts w:ascii="Times New Roman"/>
          <w:b w:val="false"/>
          <w:i w:val="false"/>
          <w:color w:val="000000"/>
          <w:sz w:val="28"/>
        </w:rPr>
        <w:t xml:space="preserve">
      машин и технологического оборудования на этапе бурения скважин, в том числе геологических при геологоразведки твердых полезных ископаемых, добычи и переработки нефти и газа при останове и запуске, ремонтных и пусконаладочных работ, техническом обслуживании, технологически неизбежных сбоях, отказах и отклонений в работе технологического оборудования, в том числе связанным с ними технологически неизбежным сжиганием газа на факелах. </w:t>
      </w:r>
    </w:p>
    <w:bookmarkEnd w:id="40"/>
    <w:bookmarkStart w:name="z47" w:id="41"/>
    <w:p>
      <w:pPr>
        <w:spacing w:after="0"/>
        <w:ind w:left="0"/>
        <w:jc w:val="both"/>
      </w:pPr>
      <w:r>
        <w:rPr>
          <w:rFonts w:ascii="Times New Roman"/>
          <w:b w:val="false"/>
          <w:i w:val="false"/>
          <w:color w:val="000000"/>
          <w:sz w:val="28"/>
        </w:rPr>
        <w:t xml:space="preserve">
      6. Обоснование технологических нормативов выбросов обеспечивается в проекте технологических нормативов, предоставляемом в уполномоченный орган в области охраны окружающей среды оператором объекта вместе с заявлением на получение комплексного экологического разрешения в соответствии со </w:t>
      </w:r>
      <w:r>
        <w:rPr>
          <w:rFonts w:ascii="Times New Roman"/>
          <w:b w:val="false"/>
          <w:i w:val="false"/>
          <w:color w:val="000000"/>
          <w:sz w:val="28"/>
        </w:rPr>
        <w:t>статьей 111</w:t>
      </w:r>
      <w:r>
        <w:rPr>
          <w:rFonts w:ascii="Times New Roman"/>
          <w:b w:val="false"/>
          <w:i w:val="false"/>
          <w:color w:val="000000"/>
          <w:sz w:val="28"/>
        </w:rPr>
        <w:t xml:space="preserve"> Кодекса.</w:t>
      </w:r>
    </w:p>
    <w:bookmarkEnd w:id="41"/>
    <w:bookmarkStart w:name="z48" w:id="42"/>
    <w:p>
      <w:pPr>
        <w:spacing w:after="0"/>
        <w:ind w:left="0"/>
        <w:jc w:val="both"/>
      </w:pPr>
      <w:r>
        <w:rPr>
          <w:rFonts w:ascii="Times New Roman"/>
          <w:b w:val="false"/>
          <w:i w:val="false"/>
          <w:color w:val="000000"/>
          <w:sz w:val="28"/>
        </w:rPr>
        <w:t>
      7. Проект технологических нормативов разрабатывается юридическим лицом, индивидуальным предпринимателем, осуществляющим или планирующим осуществление хозяйственной и (или) иной деятельности, в ходе подготовки заявки на получение комплексного экологического разрешения или заявки на пересмотр комплексного экологического разрешения.</w:t>
      </w:r>
    </w:p>
    <w:bookmarkEnd w:id="42"/>
    <w:bookmarkStart w:name="z49" w:id="43"/>
    <w:p>
      <w:pPr>
        <w:spacing w:after="0"/>
        <w:ind w:left="0"/>
        <w:jc w:val="both"/>
      </w:pPr>
      <w:r>
        <w:rPr>
          <w:rFonts w:ascii="Times New Roman"/>
          <w:b w:val="false"/>
          <w:i w:val="false"/>
          <w:color w:val="000000"/>
          <w:sz w:val="28"/>
        </w:rPr>
        <w:t>
      8. Проект технологических нормативов должен включать:</w:t>
      </w:r>
    </w:p>
    <w:bookmarkEnd w:id="43"/>
    <w:bookmarkStart w:name="z50" w:id="44"/>
    <w:p>
      <w:pPr>
        <w:spacing w:after="0"/>
        <w:ind w:left="0"/>
        <w:jc w:val="both"/>
      </w:pPr>
      <w:r>
        <w:rPr>
          <w:rFonts w:ascii="Times New Roman"/>
          <w:b w:val="false"/>
          <w:i w:val="false"/>
          <w:color w:val="000000"/>
          <w:sz w:val="28"/>
        </w:rPr>
        <w:t>
      1) краткая характеристика производственного процесса, где представляется информация по виду выпускаемой продукции, используемого сырья, оценка соответствия общим НДТ, связанные с технологическим процессом, которые могут повлиять на выбор НДТ.</w:t>
      </w:r>
    </w:p>
    <w:bookmarkEnd w:id="44"/>
    <w:bookmarkStart w:name="z51" w:id="45"/>
    <w:p>
      <w:pPr>
        <w:spacing w:after="0"/>
        <w:ind w:left="0"/>
        <w:jc w:val="both"/>
      </w:pPr>
      <w:r>
        <w:rPr>
          <w:rFonts w:ascii="Times New Roman"/>
          <w:b w:val="false"/>
          <w:i w:val="false"/>
          <w:color w:val="000000"/>
          <w:sz w:val="28"/>
        </w:rPr>
        <w:t>
      2) перечень технологических процессов и/или объекты технологического нормирования на текущий момент, маркерные загрязняющие вещества, образующиеся на объектах технологического нормирования в соответствии с заключением на основании справочников НДТ и их мониторинг.</w:t>
      </w:r>
    </w:p>
    <w:bookmarkEnd w:id="45"/>
    <w:bookmarkStart w:name="z52" w:id="46"/>
    <w:p>
      <w:pPr>
        <w:spacing w:after="0"/>
        <w:ind w:left="0"/>
        <w:jc w:val="both"/>
      </w:pPr>
      <w:r>
        <w:rPr>
          <w:rFonts w:ascii="Times New Roman"/>
          <w:b w:val="false"/>
          <w:i w:val="false"/>
          <w:color w:val="000000"/>
          <w:sz w:val="28"/>
        </w:rPr>
        <w:t xml:space="preserve">
      3) определение, а также обоснование технологических нормативов, согласно приложению настоящим правилам. </w:t>
      </w:r>
    </w:p>
    <w:bookmarkEnd w:id="46"/>
    <w:bookmarkStart w:name="z53" w:id="47"/>
    <w:p>
      <w:pPr>
        <w:spacing w:after="0"/>
        <w:ind w:left="0"/>
        <w:jc w:val="both"/>
      </w:pPr>
      <w:r>
        <w:rPr>
          <w:rFonts w:ascii="Times New Roman"/>
          <w:b w:val="false"/>
          <w:i w:val="false"/>
          <w:color w:val="000000"/>
          <w:sz w:val="28"/>
        </w:rPr>
        <w:t>
      9. Технические решения по применению НДТ определяются в период разработки проектной документации на строительство, реконструкцию и эксплуатацию объекта.</w:t>
      </w:r>
    </w:p>
    <w:bookmarkEnd w:id="47"/>
    <w:bookmarkStart w:name="z54" w:id="48"/>
    <w:p>
      <w:pPr>
        <w:spacing w:after="0"/>
        <w:ind w:left="0"/>
        <w:jc w:val="both"/>
      </w:pPr>
      <w:r>
        <w:rPr>
          <w:rFonts w:ascii="Times New Roman"/>
          <w:b w:val="false"/>
          <w:i w:val="false"/>
          <w:color w:val="000000"/>
          <w:sz w:val="28"/>
        </w:rPr>
        <w:t>
      10. Пересмотр технологических нормативов производится при утверждении новых заключений по НДТ в случае изменения технологических нормативов.</w:t>
      </w:r>
    </w:p>
    <w:bookmarkEnd w:id="48"/>
    <w:bookmarkStart w:name="z55" w:id="49"/>
    <w:p>
      <w:pPr>
        <w:spacing w:after="0"/>
        <w:ind w:left="0"/>
        <w:jc w:val="both"/>
      </w:pPr>
      <w:r>
        <w:rPr>
          <w:rFonts w:ascii="Times New Roman"/>
          <w:b w:val="false"/>
          <w:i w:val="false"/>
          <w:color w:val="000000"/>
          <w:sz w:val="28"/>
        </w:rPr>
        <w:t>
      В случае ужесточения технологических нормативов в результате пересмотра справочника и заключения по НДТ действия технологических нормативов, достигаемых в течение 10 лет в рамках программы повышения экологической эффективности предприятий сохраняются.</w:t>
      </w:r>
    </w:p>
    <w:bookmarkEnd w:id="49"/>
    <w:bookmarkStart w:name="z56" w:id="50"/>
    <w:p>
      <w:pPr>
        <w:spacing w:after="0"/>
        <w:ind w:left="0"/>
        <w:jc w:val="left"/>
      </w:pPr>
      <w:r>
        <w:rPr>
          <w:rFonts w:ascii="Times New Roman"/>
          <w:b/>
          <w:i w:val="false"/>
          <w:color w:val="000000"/>
        </w:rPr>
        <w:t xml:space="preserve"> Параграф 3. Нормативы допустимых физических воздействий на атмосферный воздух</w:t>
      </w:r>
    </w:p>
    <w:bookmarkEnd w:id="50"/>
    <w:bookmarkStart w:name="z57" w:id="51"/>
    <w:p>
      <w:pPr>
        <w:spacing w:after="0"/>
        <w:ind w:left="0"/>
        <w:jc w:val="both"/>
      </w:pPr>
      <w:r>
        <w:rPr>
          <w:rFonts w:ascii="Times New Roman"/>
          <w:b w:val="false"/>
          <w:i w:val="false"/>
          <w:color w:val="000000"/>
          <w:sz w:val="28"/>
        </w:rPr>
        <w:t>
      11. Нормативы допустимых физических воздействий на атмосферный воздух устанавливаются для каждого источника и объекта в целом в виде допустимых уровней воздействия тепла, шума, вибрации, ионизирующего излучения, величины электромагнитных полей (напряженности, плотности потока энергий, либо их суммарного значения) и иных физических воздействий на атмосферный воздух, при которых вредное физическое воздействие от такого источника в совокупности со всеми другими источниками не приведет к превышению установленных предельно допустимых уровней физических воздействий на атмосферный воздух.</w:t>
      </w:r>
    </w:p>
    <w:bookmarkEnd w:id="51"/>
    <w:bookmarkStart w:name="z58" w:id="52"/>
    <w:p>
      <w:pPr>
        <w:spacing w:after="0"/>
        <w:ind w:left="0"/>
        <w:jc w:val="both"/>
      </w:pPr>
      <w:r>
        <w:rPr>
          <w:rFonts w:ascii="Times New Roman"/>
          <w:b w:val="false"/>
          <w:i w:val="false"/>
          <w:color w:val="000000"/>
          <w:sz w:val="28"/>
        </w:rPr>
        <w:t>
      12. Уровни физического воздействия устанавливаются с учетом природных условий, сформировавшихся под влиянием природных факторов, характерных для конкретной территории или акватории, а также назначения использования таких территорий или акваторий.</w:t>
      </w:r>
    </w:p>
    <w:bookmarkEnd w:id="52"/>
    <w:bookmarkStart w:name="z59" w:id="53"/>
    <w:p>
      <w:pPr>
        <w:spacing w:after="0"/>
        <w:ind w:left="0"/>
        <w:jc w:val="both"/>
      </w:pPr>
      <w:r>
        <w:rPr>
          <w:rFonts w:ascii="Times New Roman"/>
          <w:b w:val="false"/>
          <w:i w:val="false"/>
          <w:color w:val="000000"/>
          <w:sz w:val="28"/>
        </w:rPr>
        <w:t>
      13. Нормативы допустимых физических воздействий устанавливаются для объектов I и II категорий, на уровнях, не превышающих:</w:t>
      </w:r>
    </w:p>
    <w:bookmarkEnd w:id="53"/>
    <w:bookmarkStart w:name="z60" w:id="54"/>
    <w:p>
      <w:pPr>
        <w:spacing w:after="0"/>
        <w:ind w:left="0"/>
        <w:jc w:val="both"/>
      </w:pPr>
      <w:r>
        <w:rPr>
          <w:rFonts w:ascii="Times New Roman"/>
          <w:b w:val="false"/>
          <w:i w:val="false"/>
          <w:color w:val="000000"/>
          <w:sz w:val="28"/>
        </w:rPr>
        <w:t xml:space="preserve">
      1) в случае проведения обязательной оценки воздействия на окружающую среду – соответствующих предельных значений, указанных в заключении по результатам оценки воздействия на окружающую среду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76 Кодекса;</w:t>
      </w:r>
    </w:p>
    <w:bookmarkEnd w:id="54"/>
    <w:bookmarkStart w:name="z61" w:id="55"/>
    <w:p>
      <w:pPr>
        <w:spacing w:after="0"/>
        <w:ind w:left="0"/>
        <w:jc w:val="both"/>
      </w:pPr>
      <w:r>
        <w:rPr>
          <w:rFonts w:ascii="Times New Roman"/>
          <w:b w:val="false"/>
          <w:i w:val="false"/>
          <w:color w:val="000000"/>
          <w:sz w:val="28"/>
        </w:rPr>
        <w:t xml:space="preserve">
      2) в случае проведения в соответствии с Кодексом скрининга воздействий намечаемой деятельности, по результатам которого вынесено заключение об отсутствии необходимости обязательной оценки воздействия на окружающую среду, – соответствующих значений, указанных в заявлении о намечаемой деятельности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2 статьи 68 Кодекса.</w:t>
      </w:r>
    </w:p>
    <w:bookmarkEnd w:id="55"/>
    <w:bookmarkStart w:name="z62" w:id="56"/>
    <w:p>
      <w:pPr>
        <w:spacing w:after="0"/>
        <w:ind w:left="0"/>
        <w:jc w:val="both"/>
      </w:pPr>
      <w:r>
        <w:rPr>
          <w:rFonts w:ascii="Times New Roman"/>
          <w:b w:val="false"/>
          <w:i w:val="false"/>
          <w:color w:val="000000"/>
          <w:sz w:val="28"/>
        </w:rPr>
        <w:t xml:space="preserve">
      Для действующих объектов нормативы допустимых физических воздействий устанавливаются на уровнях, установленных в заявлении на получение комплексного экологического разрешения. </w:t>
      </w:r>
    </w:p>
    <w:bookmarkEnd w:id="56"/>
    <w:bookmarkStart w:name="z63" w:id="57"/>
    <w:p>
      <w:pPr>
        <w:spacing w:after="0"/>
        <w:ind w:left="0"/>
        <w:jc w:val="both"/>
      </w:pPr>
      <w:r>
        <w:rPr>
          <w:rFonts w:ascii="Times New Roman"/>
          <w:b w:val="false"/>
          <w:i w:val="false"/>
          <w:color w:val="000000"/>
          <w:sz w:val="28"/>
        </w:rPr>
        <w:t>
      Для объектов, в отношении которых выдается комплексное экологическое разрешение, нормативы допустимых физических воздействий устанавливаются на уровнях, не превышающих соответствующих технологических показателей.</w:t>
      </w:r>
    </w:p>
    <w:bookmarkEnd w:id="57"/>
    <w:bookmarkStart w:name="z64" w:id="58"/>
    <w:p>
      <w:pPr>
        <w:spacing w:after="0"/>
        <w:ind w:left="0"/>
        <w:jc w:val="both"/>
      </w:pPr>
      <w:r>
        <w:rPr>
          <w:rFonts w:ascii="Times New Roman"/>
          <w:b w:val="false"/>
          <w:i w:val="false"/>
          <w:color w:val="000000"/>
          <w:sz w:val="28"/>
        </w:rPr>
        <w:t xml:space="preserve">
      14. Нормативы допустимых физических воздействий определяются оператором самостоятельно при наличии собственной аккредитованной лаборатории либо при ее отсутствии с привлечением сторонних специализированных организаций (аккредитованных лабораторий). </w:t>
      </w:r>
    </w:p>
    <w:bookmarkEnd w:id="58"/>
    <w:bookmarkStart w:name="z65" w:id="59"/>
    <w:p>
      <w:pPr>
        <w:spacing w:after="0"/>
        <w:ind w:left="0"/>
        <w:jc w:val="both"/>
      </w:pPr>
      <w:r>
        <w:rPr>
          <w:rFonts w:ascii="Times New Roman"/>
          <w:b w:val="false"/>
          <w:i w:val="false"/>
          <w:color w:val="000000"/>
          <w:sz w:val="28"/>
        </w:rPr>
        <w:t xml:space="preserve">
      15. Нормативы допустимых физических воздействий для намечаемой деятельности, в том числе при внесении в деятельность существенных изменений, рассчитываются и обосновываются в виде отдельного документа – проекта нормативов допустимых физических воздействий, который разрабатывается к соответствующей проектной документации намечаемой деятельности и предоставляется вместе с заявлением на получение экологического разрешения в соответствии с требованиями </w:t>
      </w:r>
      <w:r>
        <w:rPr>
          <w:rFonts w:ascii="Times New Roman"/>
          <w:b w:val="false"/>
          <w:i w:val="false"/>
          <w:color w:val="000000"/>
          <w:sz w:val="28"/>
        </w:rPr>
        <w:t>статьи 201</w:t>
      </w:r>
      <w:r>
        <w:rPr>
          <w:rFonts w:ascii="Times New Roman"/>
          <w:b w:val="false"/>
          <w:i w:val="false"/>
          <w:color w:val="000000"/>
          <w:sz w:val="28"/>
        </w:rPr>
        <w:t xml:space="preserve"> Кодекса.</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разработки</w:t>
            </w:r>
            <w:r>
              <w:br/>
            </w:r>
            <w:r>
              <w:rPr>
                <w:rFonts w:ascii="Times New Roman"/>
                <w:b w:val="false"/>
                <w:i w:val="false"/>
                <w:color w:val="000000"/>
                <w:sz w:val="20"/>
              </w:rPr>
              <w:t>технологических нормативов</w:t>
            </w:r>
          </w:p>
        </w:tc>
      </w:tr>
    </w:tbl>
    <w:bookmarkStart w:name="z67" w:id="60"/>
    <w:p>
      <w:pPr>
        <w:spacing w:after="0"/>
        <w:ind w:left="0"/>
        <w:jc w:val="both"/>
      </w:pPr>
      <w:r>
        <w:rPr>
          <w:rFonts w:ascii="Times New Roman"/>
          <w:b w:val="false"/>
          <w:i w:val="false"/>
          <w:color w:val="000000"/>
          <w:sz w:val="28"/>
        </w:rPr>
        <w:t>
      Обоснование показателей технологического нормирования</w:t>
      </w:r>
    </w:p>
    <w:bookmarkEnd w:id="60"/>
    <w:bookmarkStart w:name="z68" w:id="61"/>
    <w:p>
      <w:pPr>
        <w:spacing w:after="0"/>
        <w:ind w:left="0"/>
        <w:jc w:val="both"/>
      </w:pPr>
      <w:r>
        <w:rPr>
          <w:rFonts w:ascii="Times New Roman"/>
          <w:b w:val="false"/>
          <w:i w:val="false"/>
          <w:color w:val="000000"/>
          <w:sz w:val="28"/>
        </w:rPr>
        <w:t>
      __________________________________________________________</w:t>
      </w:r>
    </w:p>
    <w:bookmarkEnd w:id="61"/>
    <w:bookmarkStart w:name="z69" w:id="62"/>
    <w:p>
      <w:pPr>
        <w:spacing w:after="0"/>
        <w:ind w:left="0"/>
        <w:jc w:val="both"/>
      </w:pPr>
      <w:r>
        <w:rPr>
          <w:rFonts w:ascii="Times New Roman"/>
          <w:b w:val="false"/>
          <w:i w:val="false"/>
          <w:color w:val="000000"/>
          <w:sz w:val="28"/>
        </w:rPr>
        <w:t>
             (наименование объекта, код объекта (при наличии)</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3"/>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6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технологического процесса и/или оборудования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техники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Маркерные вещества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величина, миллиграмм/нанометр</w:t>
            </w:r>
            <w:r>
              <w:rPr>
                <w:rFonts w:ascii="Times New Roman"/>
                <w:b w:val="false"/>
                <w:i w:val="false"/>
                <w:color w:val="000000"/>
                <w:vertAlign w:val="superscript"/>
              </w:rPr>
              <w:t>3</w:t>
            </w:r>
            <w:r>
              <w:rPr>
                <w:rFonts w:ascii="Times New Roman"/>
                <w:b/>
                <w:i w:val="false"/>
                <w:color w:val="000000"/>
                <w:sz w:val="20"/>
              </w:rPr>
              <w:t xml:space="preserve"> (мг/дм</w:t>
            </w:r>
            <w:r>
              <w:rPr>
                <w:rFonts w:ascii="Times New Roman"/>
                <w:b w:val="false"/>
                <w:i w:val="false"/>
                <w:color w:val="000000"/>
                <w:vertAlign w:val="superscript"/>
              </w:rPr>
              <w:t>3</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Пороговая величина миллиграмм/нанометр</w:t>
            </w:r>
            <w:r>
              <w:rPr>
                <w:rFonts w:ascii="Times New Roman"/>
                <w:b w:val="false"/>
                <w:i w:val="false"/>
                <w:color w:val="000000"/>
                <w:vertAlign w:val="superscript"/>
              </w:rPr>
              <w:t>3</w:t>
            </w:r>
            <w:r>
              <w:rPr>
                <w:rFonts w:ascii="Times New Roman"/>
                <w:b/>
                <w:i w:val="false"/>
                <w:color w:val="000000"/>
                <w:sz w:val="20"/>
              </w:rPr>
              <w:t xml:space="preserve"> (мг/дм</w:t>
            </w:r>
            <w:r>
              <w:rPr>
                <w:rFonts w:ascii="Times New Roman"/>
                <w:b w:val="false"/>
                <w:i w:val="false"/>
                <w:color w:val="000000"/>
                <w:vertAlign w:val="superscript"/>
              </w:rPr>
              <w:t>3</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Соответствие наилучшими доступными техниками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