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4f25" w14:textId="9f04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августа 2021 года № 70. Зарегистрировано в Министерстве юстиции Республики Казахстан 2 сентября 2021 года № 24195. Утратило силу постановлением Правления Национального Банка Республики Казахстан от 24 декабря 2025 года № 100.</w:t>
      </w:r>
    </w:p>
    <w:p>
      <w:pPr>
        <w:spacing w:after="0"/>
        <w:ind w:left="0"/>
        <w:jc w:val="both"/>
      </w:pPr>
      <w:bookmarkStart w:name="z159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2-BVU_RA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"___"________20__года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76, 78 и 79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Казахстан, соответствующие следующим критериям: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июля 2021 года по 31 декабря 2021 года включительно –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"A-" агентства Standard&amp;Poor's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"А+"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"АА-"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 в соответствии со строкой 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зарегистрированному в Реестре государственной регистрации нормативных правовых актов под № 15886 (далее – Нормативы № 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78 настоящей таблицы и беззалоговых потребительских займов,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"A-" агентства Standard &amp; Poor's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 Республики Казахстан,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170, и суммы, подлежащей к вычету из основного капитала, указанной в абзацах третьем, четвертом и пятом пункта 11 Нормативов №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государств*, или их* гражданами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 Республики Казахстан,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иностранных государств: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104"/>
    <w:p>
      <w:pPr>
        <w:spacing w:after="0"/>
        <w:ind w:left="0"/>
        <w:jc w:val="both"/>
      </w:pPr>
      <w:bookmarkStart w:name="z141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кредитного риска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2-BVU_RA, периодичность – ежемесячная)</w:t>
      </w:r>
    </w:p>
    <w:bookmarkEnd w:id="106"/>
    <w:bookmarkStart w:name="z1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Казахстан", с пунктом 3 статьи 42 и пунктом 1 статьи 54 Закона Республики Казахстан "О банках и банковской деятельности в Республике Казахстан".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111"/>
    <w:bookmarkStart w:name="z1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степень риска в процентах для каждой группы активов.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сумма активов, указанная в графе 3, умноженная на степень риска в процентах (графа 4).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в отчетном периоде Форма не заполняется и не представляется.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15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19"/>
    <w:bookmarkStart w:name="z1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"___"________20__года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до одного года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предпринимательству, согласно Предпринимательскому кодексу Республики Казахстан,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свыше одного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кредитного риска</w:t>
            </w:r>
          </w:p>
        </w:tc>
      </w:tr>
    </w:tbl>
    <w:bookmarkStart w:name="z16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условных и возможных обязательств,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- 1-BVU_ RUIVO, периодичность - ежемесячная)</w:t>
      </w:r>
    </w:p>
    <w:bookmarkEnd w:id="129"/>
    <w:bookmarkStart w:name="z17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риска" (далее – Форма).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Казахстан", с пунктом 3 статьи 42 и пунктом 1 статьи 54 Закона Республики Казахстан "О банках и банковской деятельности в Республике Казахстан".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134"/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соответствии с постановлением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15886.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сумма по условным и возможным обязательствам, подлежащим взвешиванию с учетом кредитного риска.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сумма по условным и возможным обязательствам, указанная в графе 3, умноженная на значение коэффициента конверсии в процентах (графа 4), и значение коэффициента кредитного риска в процентах (графа 5).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в отчетном периоде Форма не заполняется и не представляется.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2"/>
    <w:bookmarkStart w:name="z18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риска, представляемый исламскими банками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 RA</w:t>
      </w:r>
    </w:p>
    <w:bookmarkEnd w:id="144"/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"___"________20__года</w:t>
      </w:r>
    </w:p>
    <w:bookmarkEnd w:id="146"/>
    <w:bookmarkStart w:name="z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47"/>
    <w:bookmarkStart w:name="z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48"/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– национальным холдингом, национальным управляющим холдингом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–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"A+" до "A-"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Казахстан, соответствующие следующим критериям: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июля 2021 года по 31 декабря 2021 года включительно –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июля 2021 года по 31 декабря 2021 года включительно – 50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 Республики Казахстан, имеющим рейтинг ниже "A-"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 организациям-резидентам Республики Казахстан, имеющим долговой рейтинг ниже "A-"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года, по займам, выданным с 1 января 2016 года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52, 56 и 57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критериев согласно строке 56 приложения 2 к постановлению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зарегистрированному в Реестре государственной регистрации нормативных правовых актов под № 13939 (далее – Нормативы № 144)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56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 Республики Казахстан, имеющими рейтинг ниже "А-" агентства Standard &amp; Poor's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144, и суммы, подлежащей к вычету из основного капитала, указанной в абзацах третьем, четвертом и пятом пункта 8 Нормативов №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 Республики Казахстан, имеющим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валюте, к организациям-нерезидентам Республики Казахстан, имеющим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иностранных государств, или гражданами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иностранных государств: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177"/>
    <w:bookmarkStart w:name="z2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178"/>
    <w:bookmarkStart w:name="z2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179"/>
    <w:bookmarkStart w:name="z2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180"/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182"/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183"/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185"/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186"/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208"/>
    <w:p>
      <w:pPr>
        <w:spacing w:after="0"/>
        <w:ind w:left="0"/>
        <w:jc w:val="both"/>
      </w:pPr>
      <w:bookmarkStart w:name="z253" w:id="2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</w:t>
            </w:r>
          </w:p>
        </w:tc>
      </w:tr>
    </w:tbl>
    <w:bookmarkStart w:name="z25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риска, представляемый исламскими банками</w:t>
      </w:r>
      <w:r>
        <w:br/>
      </w:r>
      <w:r>
        <w:rPr>
          <w:rFonts w:ascii="Times New Roman"/>
          <w:b/>
          <w:i w:val="false"/>
          <w:color w:val="000000"/>
        </w:rPr>
        <w:t>(индекс – 1-BVU_RA, периодичность – ежемесячная)</w:t>
      </w:r>
    </w:p>
    <w:bookmarkEnd w:id="210"/>
    <w:bookmarkStart w:name="z25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риска, представляемый исламскими банками" (далее – Форма).</w:t>
      </w:r>
    </w:p>
    <w:bookmarkEnd w:id="212"/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Казахстан".</w:t>
      </w:r>
    </w:p>
    <w:bookmarkEnd w:id="213"/>
    <w:bookmarkStart w:name="z2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bookmarkEnd w:id="214"/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215"/>
    <w:bookmarkStart w:name="z26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217"/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сумма активов (графа 3), умноженная на степень риска в процентах (графа 4).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26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21"/>
    <w:bookmarkStart w:name="z26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риска, представляемый исламскими банками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"___"_________20__года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зарегистрированного в Реестре государственной регистрации нормативных правовых актов под № 13939 (далее – Нормативы № 144), заключенные с контрпартнерами,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(поручительства- 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І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предпринимательству, согласно Предпринимательскому кодексу Республики Казахстан,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(поручительства- 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7" w:id="2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расшифровке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возможных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условных и возможных обязательств,</w:t>
      </w:r>
      <w:r>
        <w:br/>
      </w:r>
      <w:r>
        <w:rPr>
          <w:rFonts w:ascii="Times New Roman"/>
          <w:b/>
          <w:i w:val="false"/>
          <w:color w:val="000000"/>
        </w:rPr>
        <w:t>взвешенных с учетом кредитного риска, представляемый исламскими банками</w:t>
      </w:r>
      <w:r>
        <w:br/>
      </w:r>
      <w:r>
        <w:rPr>
          <w:rFonts w:ascii="Times New Roman"/>
          <w:b/>
          <w:i w:val="false"/>
          <w:color w:val="000000"/>
        </w:rPr>
        <w:t>(индекс – 2-BVU_ RUIVO, периодичность – ежемесячная)</w:t>
      </w:r>
    </w:p>
    <w:bookmarkEnd w:id="231"/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риска, представляемый исламскими банками" (далее – Форма).</w:t>
      </w:r>
    </w:p>
    <w:bookmarkEnd w:id="233"/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Казахстан".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bookmarkEnd w:id="235"/>
    <w:bookmarkStart w:name="z2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236"/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7"/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13939.</w:t>
      </w:r>
    </w:p>
    <w:bookmarkEnd w:id="238"/>
    <w:bookmarkStart w:name="z2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сумма по условным и возможным обязательствам, подлежащим взвешиванию с учетом кредитного риска.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сумма по условным и возможным обязательствам (графа 3), умноженная на значение коэффициента конверсии в процентах (графа 4) и значение коэффициента кредитного риска в процентах (графа 5).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