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470f" w14:textId="82f4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23 мая 2018 года № 365 "Об утверждении Правил подачи и рассмотрения заявлений на выдачу лицензий на разведку твердых полезных ископаемых"</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20 августа 2021 года № 453. Зарегистрирован в Министерстве юстиции Республики Казахстан 24 августа 2021 года № 24084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365 "Об утверждении Правил подачи и рассмотрения заявлений на выдачу лицензий на разведку твердых полезных ископаемых" (зарегистрирован в Реестре нормативных правовых актов Республики Казахстан за № 17003)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подачи и рассмотрения заявлений на выдачу лицензий на разведку твердых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Выдача лицензии на разведку твердых полезных ископаемых не допускается:</w:t>
      </w:r>
    </w:p>
    <w:bookmarkEnd w:id="3"/>
    <w:bookmarkStart w:name="z9" w:id="4"/>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4"/>
    <w:bookmarkStart w:name="z10" w:id="5"/>
    <w:p>
      <w:pPr>
        <w:spacing w:after="0"/>
        <w:ind w:left="0"/>
        <w:jc w:val="both"/>
      </w:pPr>
      <w:r>
        <w:rPr>
          <w:rFonts w:ascii="Times New Roman"/>
          <w:b w:val="false"/>
          <w:i w:val="false"/>
          <w:color w:val="000000"/>
          <w:sz w:val="28"/>
        </w:rPr>
        <w:t xml:space="preserve">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в том числе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его согласия;</w:t>
      </w:r>
    </w:p>
    <w:bookmarkEnd w:id="5"/>
    <w:bookmarkStart w:name="z11" w:id="6"/>
    <w:p>
      <w:pPr>
        <w:spacing w:after="0"/>
        <w:ind w:left="0"/>
        <w:jc w:val="both"/>
      </w:pPr>
      <w:r>
        <w:rPr>
          <w:rFonts w:ascii="Times New Roman"/>
          <w:b w:val="false"/>
          <w:i w:val="false"/>
          <w:color w:val="000000"/>
          <w:sz w:val="28"/>
        </w:rPr>
        <w:t xml:space="preserve">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 в том числе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 в том числе контрактной территории, определенной геологическим отводом к контракту на недропользование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контрактной территории, определенной горным отводом к контракту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проводится ликвидация последствий разведки или добычи твердых полезных ископаемых;</w:t>
      </w:r>
    </w:p>
    <w:bookmarkEnd w:id="9"/>
    <w:bookmarkStart w:name="z15" w:id="10"/>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10"/>
    <w:bookmarkStart w:name="z16" w:id="11"/>
    <w:p>
      <w:pPr>
        <w:spacing w:after="0"/>
        <w:ind w:left="0"/>
        <w:jc w:val="both"/>
      </w:pPr>
      <w:r>
        <w:rPr>
          <w:rFonts w:ascii="Times New Roman"/>
          <w:b w:val="false"/>
          <w:i w:val="false"/>
          <w:color w:val="000000"/>
          <w:sz w:val="28"/>
        </w:rPr>
        <w:t>
      дополнить пунктом 5-1 следующего содержания:</w:t>
      </w:r>
    </w:p>
    <w:bookmarkEnd w:id="11"/>
    <w:bookmarkStart w:name="z17" w:id="12"/>
    <w:p>
      <w:pPr>
        <w:spacing w:after="0"/>
        <w:ind w:left="0"/>
        <w:jc w:val="both"/>
      </w:pPr>
      <w:r>
        <w:rPr>
          <w:rFonts w:ascii="Times New Roman"/>
          <w:b w:val="false"/>
          <w:i w:val="false"/>
          <w:color w:val="000000"/>
          <w:sz w:val="28"/>
        </w:rPr>
        <w:t>
      "5-1. Лицензия на разведку твердых полезных ископаемых, помимо полных блоков, также выдается в отношении следующих неполных (частичных) блоков:</w:t>
      </w:r>
    </w:p>
    <w:bookmarkEnd w:id="12"/>
    <w:bookmarkStart w:name="z18" w:id="13"/>
    <w:p>
      <w:pPr>
        <w:spacing w:after="0"/>
        <w:ind w:left="0"/>
        <w:jc w:val="both"/>
      </w:pPr>
      <w:r>
        <w:rPr>
          <w:rFonts w:ascii="Times New Roman"/>
          <w:b w:val="false"/>
          <w:i w:val="false"/>
          <w:color w:val="000000"/>
          <w:sz w:val="28"/>
        </w:rPr>
        <w:t>
      1) блока, стороны которого полностью охватывают:</w:t>
      </w:r>
    </w:p>
    <w:bookmarkEnd w:id="13"/>
    <w:bookmarkStart w:name="z19" w:id="14"/>
    <w:p>
      <w:pPr>
        <w:spacing w:after="0"/>
        <w:ind w:left="0"/>
        <w:jc w:val="both"/>
      </w:pPr>
      <w:r>
        <w:rPr>
          <w:rFonts w:ascii="Times New Roman"/>
          <w:b w:val="false"/>
          <w:i w:val="false"/>
          <w:color w:val="000000"/>
          <w:sz w:val="28"/>
        </w:rPr>
        <w:t xml:space="preserve">
      территорию участка недр, находящегося в пользовании у другого лица для проведения операций по добыче углеводородов, в том числе определенную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на строительство и (или) эксплуатацию подземных сооружений, не связанных с разведкой и (или) добычей,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территорию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определенную горным отводом к контракту по твердым полезным ископаемым или общераспространенным полезным ископаемым, либо действующим протоколом о заключении контракта на добычу твердых полезных ископаемых или общераспространенных полезных ископаемых, подписанным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16"/>
    <w:bookmarkStart w:name="z22" w:id="17"/>
    <w:p>
      <w:pPr>
        <w:spacing w:after="0"/>
        <w:ind w:left="0"/>
        <w:jc w:val="both"/>
      </w:pPr>
      <w:r>
        <w:rPr>
          <w:rFonts w:ascii="Times New Roman"/>
          <w:b w:val="false"/>
          <w:i w:val="false"/>
          <w:color w:val="000000"/>
          <w:sz w:val="28"/>
        </w:rPr>
        <w:t>
      территорию, на которой проводится ликвидация последствий разведки или добычи твердых полезных ископаемых;</w:t>
      </w:r>
    </w:p>
    <w:bookmarkEnd w:id="17"/>
    <w:bookmarkStart w:name="z23" w:id="18"/>
    <w:p>
      <w:pPr>
        <w:spacing w:after="0"/>
        <w:ind w:left="0"/>
        <w:jc w:val="both"/>
      </w:pPr>
      <w:r>
        <w:rPr>
          <w:rFonts w:ascii="Times New Roman"/>
          <w:b w:val="false"/>
          <w:i w:val="false"/>
          <w:color w:val="000000"/>
          <w:sz w:val="28"/>
        </w:rPr>
        <w:t>
      территорию участка добычи урана;</w:t>
      </w:r>
    </w:p>
    <w:bookmarkEnd w:id="18"/>
    <w:bookmarkStart w:name="z24" w:id="19"/>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подпункте 1) настоящего пункта,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19"/>
    <w:bookmarkStart w:name="z25" w:id="20"/>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w:t>
      </w:r>
    </w:p>
    <w:bookmarkEnd w:id="20"/>
    <w:bookmarkStart w:name="z26" w:id="21"/>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21"/>
    <w:bookmarkStart w:name="z27" w:id="22"/>
    <w:p>
      <w:pPr>
        <w:spacing w:after="0"/>
        <w:ind w:left="0"/>
        <w:jc w:val="both"/>
      </w:pPr>
      <w:r>
        <w:rPr>
          <w:rFonts w:ascii="Times New Roman"/>
          <w:b w:val="false"/>
          <w:i w:val="false"/>
          <w:color w:val="000000"/>
          <w:sz w:val="28"/>
        </w:rPr>
        <w:t>
      В случае выдачи лицензии в отношении неполных (частичных) блоков территория участка разведки считается сформированной, в том числе из таких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22"/>
    <w:bookmarkStart w:name="z28" w:id="23"/>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Кодекса.";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"7. Заявление содержит следующие сведения:</w:t>
      </w:r>
    </w:p>
    <w:bookmarkEnd w:id="24"/>
    <w:bookmarkStart w:name="z31" w:id="25"/>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w:t>
      </w:r>
    </w:p>
    <w:bookmarkEnd w:id="25"/>
    <w:bookmarkStart w:name="z32" w:id="26"/>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заявителя;</w:t>
      </w:r>
    </w:p>
    <w:bookmarkEnd w:id="26"/>
    <w:bookmarkStart w:name="z33" w:id="27"/>
    <w:p>
      <w:pPr>
        <w:spacing w:after="0"/>
        <w:ind w:left="0"/>
        <w:jc w:val="both"/>
      </w:pPr>
      <w:r>
        <w:rPr>
          <w:rFonts w:ascii="Times New Roman"/>
          <w:b w:val="false"/>
          <w:i w:val="false"/>
          <w:color w:val="000000"/>
          <w:sz w:val="28"/>
        </w:rPr>
        <w:t xml:space="preserve">
      2) указание на блок (блоки), составляющий (составляющие) территорию разведки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Кодекса и определяющий (определяющие) участок недр, который заявитель просит предоставить в пользование.</w:t>
      </w:r>
    </w:p>
    <w:bookmarkEnd w:id="27"/>
    <w:bookmarkStart w:name="z34" w:id="28"/>
    <w:p>
      <w:pPr>
        <w:spacing w:after="0"/>
        <w:ind w:left="0"/>
        <w:jc w:val="both"/>
      </w:pPr>
      <w:r>
        <w:rPr>
          <w:rFonts w:ascii="Times New Roman"/>
          <w:b w:val="false"/>
          <w:i w:val="false"/>
          <w:color w:val="000000"/>
          <w:sz w:val="28"/>
        </w:rPr>
        <w:t>
      Если указываемая в заявлении территория разведки включает в себя часть блока в случаях, предусмотренных пунктом 5 настоящих Правил, для целей определения условий лицензии при рассмотрении заявления указанный блок считается полным.</w:t>
      </w:r>
    </w:p>
    <w:bookmarkEnd w:id="28"/>
    <w:bookmarkStart w:name="z35" w:id="29"/>
    <w:p>
      <w:pPr>
        <w:spacing w:after="0"/>
        <w:ind w:left="0"/>
        <w:jc w:val="both"/>
      </w:pPr>
      <w:r>
        <w:rPr>
          <w:rFonts w:ascii="Times New Roman"/>
          <w:b w:val="false"/>
          <w:i w:val="false"/>
          <w:color w:val="000000"/>
          <w:sz w:val="28"/>
        </w:rPr>
        <w:t xml:space="preserve">
      Несоответствие заявленной территории требованиям о формировании территории разведки,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 Кодекса, является основанием для отказа в выдаче лицензии в соответствии с подпунктом 1) пункта 25 настоящих Правил.";</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"9. Для подтверждения наличия у заявителя финансовых возможностей, достаточных для проведения операций по разведке, представляется один из следующих документов:</w:t>
      </w:r>
    </w:p>
    <w:bookmarkEnd w:id="30"/>
    <w:bookmarkStart w:name="z38" w:id="31"/>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31"/>
    <w:bookmarkStart w:name="z39" w:id="32"/>
    <w:p>
      <w:pPr>
        <w:spacing w:after="0"/>
        <w:ind w:left="0"/>
        <w:jc w:val="both"/>
      </w:pPr>
      <w:r>
        <w:rPr>
          <w:rFonts w:ascii="Times New Roman"/>
          <w:b w:val="false"/>
          <w:i w:val="false"/>
          <w:color w:val="000000"/>
          <w:sz w:val="28"/>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заявителя финансовых возможностей. При наличии у заявителя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 по которым представлены выписки;</w:t>
      </w:r>
    </w:p>
    <w:bookmarkEnd w:id="32"/>
    <w:bookmarkStart w:name="z40" w:id="33"/>
    <w:p>
      <w:pPr>
        <w:spacing w:after="0"/>
        <w:ind w:left="0"/>
        <w:jc w:val="both"/>
      </w:pP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bookmarkEnd w:id="33"/>
    <w:bookmarkStart w:name="z41" w:id="34"/>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34"/>
    <w:bookmarkStart w:name="z42" w:id="35"/>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35"/>
    <w:bookmarkStart w:name="z43" w:id="36"/>
    <w:p>
      <w:pPr>
        <w:spacing w:after="0"/>
        <w:ind w:left="0"/>
        <w:jc w:val="both"/>
      </w:pPr>
      <w:r>
        <w:rPr>
          <w:rFonts w:ascii="Times New Roman"/>
          <w:b w:val="false"/>
          <w:i w:val="false"/>
          <w:color w:val="000000"/>
          <w:sz w:val="28"/>
        </w:rPr>
        <w:t>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xml:space="preserve">
      "17.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и 8) пункта 25 настоящих Правил, а также с учетом положений пунктов 18 и 19 настоящих Правил направляет заявителю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w:t>
      </w:r>
    </w:p>
    <w:bookmarkEnd w:id="37"/>
    <w:bookmarkStart w:name="z46" w:id="38"/>
    <w:p>
      <w:pPr>
        <w:spacing w:after="0"/>
        <w:ind w:left="0"/>
        <w:jc w:val="both"/>
      </w:pPr>
      <w:r>
        <w:rPr>
          <w:rFonts w:ascii="Times New Roman"/>
          <w:b w:val="false"/>
          <w:i w:val="false"/>
          <w:color w:val="000000"/>
          <w:sz w:val="28"/>
        </w:rPr>
        <w:t>
      Уведомление размещается на интернет-ресурсе компетентного органа в течение пяти рабочих дней со дня его направления заявителю.</w:t>
      </w:r>
    </w:p>
    <w:bookmarkEnd w:id="38"/>
    <w:bookmarkStart w:name="z47" w:id="39"/>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предоставляется заявителем в компетентный орган не позднее сорока рабочих дней со дня направления уведомления.</w:t>
      </w:r>
    </w:p>
    <w:bookmarkEnd w:id="39"/>
    <w:bookmarkStart w:name="z48" w:id="40"/>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интернет-ресурсе компетентного органа.</w:t>
      </w:r>
    </w:p>
    <w:bookmarkEnd w:id="40"/>
    <w:bookmarkStart w:name="z49" w:id="41"/>
    <w:p>
      <w:pPr>
        <w:spacing w:after="0"/>
        <w:ind w:left="0"/>
        <w:jc w:val="both"/>
      </w:pPr>
      <w:r>
        <w:rPr>
          <w:rFonts w:ascii="Times New Roman"/>
          <w:b w:val="false"/>
          <w:i w:val="false"/>
          <w:color w:val="000000"/>
          <w:sz w:val="28"/>
        </w:rPr>
        <w:t>
      18. Если к территории, указанной в заявлении, относится блок, предусмотренный подпунктами 1), 2), 3), 4), 5), 6) и 7) пункта 5 настоящих Правил,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отказывается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41"/>
    <w:bookmarkStart w:name="z50" w:id="42"/>
    <w:p>
      <w:pPr>
        <w:spacing w:after="0"/>
        <w:ind w:left="0"/>
        <w:jc w:val="both"/>
      </w:pPr>
      <w:r>
        <w:rPr>
          <w:rFonts w:ascii="Times New Roman"/>
          <w:b w:val="false"/>
          <w:i w:val="false"/>
          <w:color w:val="000000"/>
          <w:sz w:val="28"/>
        </w:rPr>
        <w:t>
      В уведомлении, направляемом в соответствии с частью первой настоящего пункта, указывается о выявленных несоответствиях заявленной территории требованиям Кодекса.</w:t>
      </w:r>
    </w:p>
    <w:bookmarkEnd w:id="42"/>
    <w:bookmarkStart w:name="z51" w:id="43"/>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5-1 настоящих Правил, данный блок (блоки) также не включается (включаются) в лицензию по правилам части первой </w:t>
      </w:r>
      <w:r>
        <w:rPr>
          <w:rFonts w:ascii="Times New Roman"/>
          <w:b w:val="false"/>
          <w:i w:val="false"/>
          <w:color w:val="000000"/>
          <w:sz w:val="28"/>
        </w:rPr>
        <w:t>статьи 188</w:t>
      </w:r>
      <w:r>
        <w:rPr>
          <w:rFonts w:ascii="Times New Roman"/>
          <w:b w:val="false"/>
          <w:i w:val="false"/>
          <w:color w:val="000000"/>
          <w:sz w:val="28"/>
        </w:rPr>
        <w:t xml:space="preserve"> Кодекса.";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xml:space="preserve">
      "21.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w:t>
      </w:r>
      <w:r>
        <w:rPr>
          <w:rFonts w:ascii="Times New Roman"/>
          <w:b w:val="false"/>
          <w:i w:val="false"/>
          <w:color w:val="000000"/>
          <w:sz w:val="28"/>
        </w:rPr>
        <w:t>главы 27</w:t>
      </w:r>
      <w:r>
        <w:rPr>
          <w:rFonts w:ascii="Times New Roman"/>
          <w:b w:val="false"/>
          <w:i w:val="false"/>
          <w:color w:val="000000"/>
          <w:sz w:val="28"/>
        </w:rPr>
        <w:t xml:space="preserve"> Кодекса.</w:t>
      </w:r>
    </w:p>
    <w:bookmarkEnd w:id="44"/>
    <w:bookmarkStart w:name="z54" w:id="45"/>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"24.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46"/>
    <w:bookmarkStart w:name="z57" w:id="47"/>
    <w:p>
      <w:pPr>
        <w:spacing w:after="0"/>
        <w:ind w:left="0"/>
        <w:jc w:val="both"/>
      </w:pPr>
      <w:r>
        <w:rPr>
          <w:rFonts w:ascii="Times New Roman"/>
          <w:b w:val="false"/>
          <w:i w:val="false"/>
          <w:color w:val="000000"/>
          <w:sz w:val="28"/>
        </w:rPr>
        <w:t>
      25. Компетентный орган отказывает в выдаче лицензии при наличии одного из следующих оснований:</w:t>
      </w:r>
    </w:p>
    <w:bookmarkEnd w:id="47"/>
    <w:bookmarkStart w:name="z58" w:id="48"/>
    <w:p>
      <w:pPr>
        <w:spacing w:after="0"/>
        <w:ind w:left="0"/>
        <w:jc w:val="both"/>
      </w:pPr>
      <w:r>
        <w:rPr>
          <w:rFonts w:ascii="Times New Roman"/>
          <w:b w:val="false"/>
          <w:i w:val="false"/>
          <w:color w:val="000000"/>
          <w:sz w:val="28"/>
        </w:rPr>
        <w:t xml:space="preserve">
      1) заявление или прилагаемые к нему документы не соответствуют требованиям, предусмотренным </w:t>
      </w:r>
      <w:r>
        <w:rPr>
          <w:rFonts w:ascii="Times New Roman"/>
          <w:b w:val="false"/>
          <w:i w:val="false"/>
          <w:color w:val="000000"/>
          <w:sz w:val="28"/>
        </w:rPr>
        <w:t>Кодексом</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2) к заявлению не приложены документы, требуемые настоящими Правилами;</w:t>
      </w:r>
    </w:p>
    <w:bookmarkEnd w:id="49"/>
    <w:bookmarkStart w:name="z60" w:id="50"/>
    <w:p>
      <w:pPr>
        <w:spacing w:after="0"/>
        <w:ind w:left="0"/>
        <w:jc w:val="both"/>
      </w:pPr>
      <w:r>
        <w:rPr>
          <w:rFonts w:ascii="Times New Roman"/>
          <w:b w:val="false"/>
          <w:i w:val="false"/>
          <w:color w:val="000000"/>
          <w:sz w:val="28"/>
        </w:rPr>
        <w:t>
      3) в течение одного года до подачи заявления у заявителя или лица, прямо или косвенно контролирующего заявителя или находящегося под его контролем,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bookmarkEnd w:id="50"/>
    <w:bookmarkStart w:name="z61" w:id="51"/>
    <w:p>
      <w:pPr>
        <w:spacing w:after="0"/>
        <w:ind w:left="0"/>
        <w:jc w:val="both"/>
      </w:pPr>
      <w:r>
        <w:rPr>
          <w:rFonts w:ascii="Times New Roman"/>
          <w:b w:val="false"/>
          <w:i w:val="false"/>
          <w:color w:val="000000"/>
          <w:sz w:val="28"/>
        </w:rPr>
        <w:t>
      4) запрашиваемая территория полностью относится к территории и (или) блокам, указанным в пункте 5 настоящих Правил;</w:t>
      </w:r>
    </w:p>
    <w:bookmarkEnd w:id="51"/>
    <w:bookmarkStart w:name="z62" w:id="52"/>
    <w:p>
      <w:pPr>
        <w:spacing w:after="0"/>
        <w:ind w:left="0"/>
        <w:jc w:val="both"/>
      </w:pP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bookmarkEnd w:id="52"/>
    <w:bookmarkStart w:name="z63" w:id="53"/>
    <w:p>
      <w:pPr>
        <w:spacing w:after="0"/>
        <w:ind w:left="0"/>
        <w:jc w:val="both"/>
      </w:pP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p>
    <w:bookmarkEnd w:id="53"/>
    <w:bookmarkStart w:name="z64" w:id="54"/>
    <w:p>
      <w:pPr>
        <w:spacing w:after="0"/>
        <w:ind w:left="0"/>
        <w:jc w:val="both"/>
      </w:pP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установленным настоящими Правилами;</w:t>
      </w:r>
    </w:p>
    <w:bookmarkEnd w:id="54"/>
    <w:bookmarkStart w:name="z65" w:id="55"/>
    <w:p>
      <w:pPr>
        <w:spacing w:after="0"/>
        <w:ind w:left="0"/>
        <w:jc w:val="both"/>
      </w:pP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55"/>
    <w:bookmarkStart w:name="z66" w:id="56"/>
    <w:p>
      <w:pPr>
        <w:spacing w:after="0"/>
        <w:ind w:left="0"/>
        <w:jc w:val="both"/>
      </w:pPr>
      <w:r>
        <w:rPr>
          <w:rFonts w:ascii="Times New Roman"/>
          <w:b w:val="false"/>
          <w:i w:val="false"/>
          <w:color w:val="000000"/>
          <w:sz w:val="28"/>
        </w:rPr>
        <w:t xml:space="preserve">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Наличие грамматических или арифметических ошибок, опечаток в сведениях, указанных в заявлении (кроме сведений о блоке (блоках)),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57"/>
    <w:bookmarkStart w:name="z68" w:id="58"/>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58"/>
    <w:bookmarkStart w:name="z69"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70" w:id="6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0"/>
    <w:bookmarkStart w:name="z71"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1"/>
    <w:bookmarkStart w:name="z72"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пятого пункта 1 настоящего приказа, который вводится в действие с 1 января 2023 года.</w:t>
      </w:r>
    </w:p>
    <w:bookmarkEnd w:id="6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Республики Казахстан                                                    К. Ускенбаев</w:t>
            </w:r>
            <w:r>
              <w:rPr>
                <w:rFonts w:ascii="Times New Roman"/>
                <w:b w:val="false"/>
                <w:i w:val="false"/>
                <w:color w:val="000000"/>
                <w:sz w:val="20"/>
              </w:rPr>
              <w:t>
</w:t>
            </w:r>
          </w:p>
        </w:tc>
      </w:tr>
    </w:tbl>
    <w:bookmarkStart w:name="z74"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 геологии</w:t>
      </w:r>
      <w:r>
        <w:br/>
      </w:r>
      <w:r>
        <w:rPr>
          <w:rFonts w:ascii="Times New Roman"/>
          <w:b w:val="false"/>
          <w:i w:val="false"/>
          <w:color w:val="000000"/>
          <w:sz w:val="28"/>
        </w:rPr>
        <w:t>и природных ресурсов</w:t>
      </w:r>
      <w:r>
        <w:br/>
      </w:r>
      <w:r>
        <w:rPr>
          <w:rFonts w:ascii="Times New Roman"/>
          <w:b w:val="false"/>
          <w:i w:val="false"/>
          <w:color w:val="000000"/>
          <w:sz w:val="28"/>
        </w:rPr>
        <w:t>Республики Казахстан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