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a532" w14:textId="cf0a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нефинансового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августа 2021 года № 4. Зарегистрирован в Министерстве юстиции Республики Казахстан 11 августа 2021 года № 23942.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финансовому мониторингу от 25.11.2025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финансовому мониторингу от 25.11.2025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нефинансового сектора.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финансовому мониторингу от 25.11.2025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2020 года № 926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сектора" (зарегистрирован в Реестре государственной регистрации нормативных правовых актов под № 21300).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нефинансового сектора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приказа Председателя Агентства РК по финансовому мониторингу от 25.11.2025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нефинансового сектора (далее – Требования) разработаны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Международными стандартами Группы разработки финансовых мер борьбы с отмыванием денег (ФАТФ) для субъектов финансового мониторинга, предусмотренных подпунктами 7), 8), 13), 15), 16), 18), 21) и 22)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субъект).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внутреннего контроля являются документом, который регламентирует организационные основы работы, направленные на противодействие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и устанавливает порядок действий субъекта в целях ПОД/ФТ/ФРОМУ.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внутреннего контроля включают в себя программы, предусмотренные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вправе включать в программы правил внутреннего контроля положения, непредусмотренные Требованиями.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внутреннего контроля утверждаются субъектом (высшим органом управления либо руководителем) и размещаются в личном кабинете.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правил внутреннего контроля, в том числе о наличии безупречной деловой репутации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Программа организации внутреннего контроля включает: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назначения лица, ответственного за реализацию и соблюдение правил внутреннего контроля (далее – ответственное лицо);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полномочия и обязанности, возлагаемые на ответственное лицо;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возложения обязанностей ответственного лица на период его временного отсутствия (отпуск, временная нетрудоспособность, служебная командировка);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полномочия и обязанности структурного подразделения, выполняющего функции по ПОД/ФТ/ФРОМУ (при наличии).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такого структурного подразделения принимается юридическими лицами самостоятельно исходя из особенностей структуры, штатной численности, клиентской базы и степени (уровня) риска совершения клиентом подозрительных операций с деньгами и (или) иным имуществом (далее – подозрительная операция);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описание системы внутреннего контроля субъекта и его филиала (при наличии), а также порядок взаимодействия структурных подразделений юридического лица (работников индивидуального предпринимателя) по вопросам реализации правил внутреннего контроля;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внесения изменений в правила внутреннего контроля;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проверки системы внутреннего контроля;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порядок хранения документов и сведений, полученных в результате реализации обязанностей по ПОД/ФТ/ФРОМУ.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Ответственным лицом назначается физическое лицо, являющееся работником субъекта на основании трудового договора и соответствующее следующим требованиям: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статусом руководителя (не ниже уровня руководителя структурного подразделения) и подчиняющееся непосредственно руководителю юридического лица;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высшее или среднее профессиональное образование;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стаж работы не менее 2 (двух) лет в сфере ПОД/ФТ/ФРОМУ либо в сфере деятельности субъекта;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безупречную деловую репутацию;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сертификат о прохождении тестирования на знание законодательства Республики Казахстан о ПОД/ФТ/ФРОМУ (далее – сертификат). Сертификат размещается в личном кабинете субъекта.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 которое возлагаются обязанности ответственного лица на период его временного отсутствия (отпуск, временная нетрудоспособность, служебная командировка), соответствует требованиям, предъявляемым к ответственному лицу.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назначает себя ответственным лицом, в случае если он является индивидуальным предпринимателем либо физическим лицом. При этом требования, установленные для ответственного лица, на него не распространяются, за исключением наличия сертификата.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Субъектом не реже 1 (одного) раза в год проводится проверка системы внутреннего контроля на соответствие требованиям законодательства Республики Казахстан о ПОД/ФТ/ФРОМУ.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системы внутреннего контроля включает: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выполнения субъектом (ответственным лицом) правил внутреннего контроля и требований законодательства Республики Казахстан о ПОД/ФТ/ФРОМУ;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представление субъекту (высшему органу управления либо руководителю) письменных отчетов о результатах проведенной проверки;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мер, направленных на устранение нарушений, выявленных по результатам проверок.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системы внутреннего контроля осуществляется по решению субъекта внешним аудитом, внутренним аудитом (при его наличии) либо структурным подразделением (работником), не участвующим в системе ПОД/ФТ/ФРОМУ.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не менее 5 (пяти) лет со дня прекращения деловых отношений с клиентом обеспечивает хранение документов и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управления рисками включает: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оценки и отнесения клиента к степени (уровню) риска при установлении деловых отношений, а также применения упрощенных или усиленных мер надлежащей проверки клиентов;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пересмотра степени (уровня) риска клиента;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управления рисками;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оценки рисков использования новых услуг (продуктов) и (или) программно-технических средств в целях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ОД/ФТ/ФРОМУ), включающий разработку комплекса мер, направленных на их снижение;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результатов оценки степени (уровня) риска и управления рисками.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степени (уровня) риска осуществляется при установлении деловых отношений и в ходе деловых отношений.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(уровня) риска осуществляется по одной или по совокупности следующих категорий рисков: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связанные со странами и (или) отдельными географическими территориями;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связанные с клиентами;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связанные с услугами (продуктами), каналами поставок, операциями с деньгами и (или) иным имуществом (далее – операция), совершаемыми клиентом.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устанавливает дополнительные категории рисков с учетом особенностей своей деятельности.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 при оценке степени (уровня) риска учитывает следующие факторы: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национальной и секторальной оценки рисков;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виды деятельности клиентов, а также используемые ими услуги (продукты);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и сведения, а также рекомендации уполномоченного органа;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типологии, схемы и способы ОД/ФТ/ФРОМУ, размещенные на интернет-ресурсе уполномоченного органа, и от других доступных источников;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операций, видов и условий деятельности, имеющих повышенные риски совершения клиентами операций в целях ОД/ФТ/ФРОМУ, с учетом рекомендаций Группы разработки финансовых мер борьбы с отмыванием денег (ФАТФ).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разрабатывает дополнительные факторы для оценки степени (уровня) риска с учетом особенностей своей деятельности.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оценке степени (уровня) риска проводится отнесение клиентов к следующим уровням риска: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(уровень) риска;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степень (уровень) риска.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 присвоении клиенту степени (уровня) риска принимается субъектом по итогам изучения имеющейся информации о клиенте (его представителе) и бенефициарном собственнике, а также об операциях, совершаемых клиентом либо в интересах клиента.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длительном (длящимся) характере деловых отношений субъект осуществляет постоянный мониторинг уровня риска клиента.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пересмотре группы риска принимается при выявлении факторов, на основании которых оценивается степень (уровень) риска.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рисками реализуется посредством осуществления действий по снижению риска в рамках мер, предусмотренных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клиентах с высокой степенью (уровнем) риска осуществляется не реже 1 (одного) раза в полугодие.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рисков новых услуг (продуктов) и (или) программно-технических средств проводится до их введения.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 ежегодно осуществляет оценку степени (уровня) подверженности клиентов, услуг (продуктов) рискам ОД/ФТ/ФРОМУ.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степени (уровня) риска ОД/ФТ/ФРОМУ размещаются в личном кабинете субъекта в срок до 10 (десятого) января года, следующего за отчетным годом.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Программа идентификации клиента включает: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мер надлежащей проверки клиента (его представителя) и бенефициарного собственника, а также подтверждения достоверности полученных сведений;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наличия клиента (его представителя) и бенефициарного собственника в перечнях организаций и лиц, связанных с финансированием терроризма и экстремизма, и финансированием распространения оружия массового уничтожения;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выявления иностранных публичных должностных лиц, а также лиц, находящихся в перечне публичных должностных лиц, утверждаемом Президентом Республики Казахстан, с определением источников происхождения денежных средств или иного имущества; 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выявления физических и юридических лиц, имеющих регистрацию, место жительства или место нахождения в государстве (на территории), которое не выполняет рекомендации Группы разработки финансовых мер борьбы с отмыванием денег (ФАТФ). 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Способы и формы фиксирования сведений, получаемых в результате идентификации клиентов (их представителей) и бенефициарных собственников определяются субъектом самостоятельно.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Программа мониторинга и изучения операций клиентов включает: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процедуры выявления операций, подлежащих финансовому мониторингу и подозрительной деятельности;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принятия решения об отказе в проведении операции либо установлении (прекращении) деловых отношений;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периодичность проведения сверки на наличие своих клиентов, в отношении которых должны применяться меры по замораживанию операций;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принятия мер по замораживанию операций;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действий, связанных с приостановлением операций;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взаимодействия и информирования клиента о применяемых мерах по ПОД/ФТ/ФРОМУ с учетом требований, предусмотренных пунктами 5 и 5-1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взаимодействия с клиентами для осуществления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представления в уполномоченный орган сообщений о фактах отказа в совершении операции либо установлении (прекращении) деловых отношений, замораживания и приостановления операций.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программу мониторинга и изучения операций клиентов включаются признаки подозрительных операций и (или) деятельности, типологии, схемы и способы ОД/ФТ/ФРОМУ.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вправе включить в программу мониторинга и изучения операций клиентов дополнительные признаки подозрительных операций и (или) деятельности, типологии, схемы и способы ОД/ФТ/ФРОМУ.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о признании операции и (или) деятельности клиента подозрительной принимается субъектом на основании информации о финансово-хозяйственной деятельности, финансовом положении и деловой репутации клиента (его представителя) и бенефициарного собственника.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выявления подозрительной операции и (или) деятельности субъектом проводится мониторинг операций клиента и изучение информации, имеющейся в его распоряжении. В решении субъекта фиксируются дата и основания признания операции и (или) деятельности подозрительной.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Сообщения об операциях, подлежащих финансовому мониторингу, направляются субъектом в уполномоченный орган посредством личного кабинета.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Результаты мониторинга операций клиентов и изучения информации используются субъектом для ежегодной оценки степени (уровня) риска и управления рисками ОД/ФТ/ФРОМУ, а также для пересмотра уровня риска клиентов.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Программа подготовки и обучения субъекта в сфере ПОД/ФТ/ФРОМУ разрабатывается в соответствии с Требованиями к субъектам финансового мониторинга по подготовке и обучению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9 августа 2021 года № 6 (зарегистрированного в Реестре государственной регистрации нормативных правовых актов № 23952).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