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3f72" w14:textId="2b63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29 марта 2016 года № 313 "Об утверждении Инструкции по организации деятельности подразделений органов внутренних дел по контролю в сфере оборота гражданского и служебного оружия"</w:t>
      </w:r>
    </w:p>
    <w:p>
      <w:pPr>
        <w:spacing w:after="0"/>
        <w:ind w:left="0"/>
        <w:jc w:val="both"/>
      </w:pPr>
      <w:r>
        <w:rPr>
          <w:rFonts w:ascii="Times New Roman"/>
          <w:b w:val="false"/>
          <w:i w:val="false"/>
          <w:color w:val="000000"/>
          <w:sz w:val="28"/>
        </w:rPr>
        <w:t>Приказ и.о. Министра внутренних дел Республики Казахстан от 27 июля 2021 года № 442. Зарегистрирован в Министерстве юстиции Республики Казахстан 28 июля 2021 года № 23740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марта 2016 года № 313 "Об утверждении Инструкции по организации деятельности подразделений органов внутренних дел по контролю в сфере оборота гражданского и служебного оружия" (зарегистрирован в Реестре государственной регистрации нормативных правовых актов № 13694)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деятельности подразделений органов внутренних дел по контролю в сфере оборота гражданского и служебного оружия,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"23. Лицензии на осуществление деятельности по разработке, производству, ремонту и торговле гражданского и служебного оружия и патронов к нему, на осуществление деятельности по разработке, производству, торговле и использованию гражданских пиротехнических веществ и изделий с их применением (салютов, фейерверков при проведении культурно-массовых мероприятий), разрешения на приобретение, хранение и ношение гражданского огнестрельного оружия с нарезным стволом, на приобретение гражданского оружия иностранцам, прибывшим в Республику Казахстан с целью туризма, по частным и служебным делам и зарегистрированным в ОВД, для проживания на территории Республики Казахстан, выдаются на общих основаниях по ходатайствам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 на приобретение, хранение и ношение, перевозку иностранцам, зарегистрированным в ОВД для проживания на территории Республики Казахстан на срок не менее одного года на общих основаниях по ходатайствам дипломатических представительств государств, гражданами которых они являются, подписываются начальниками ДП или заместителем начальника, курирующим подразделения КОГСО.</w:t>
      </w:r>
    </w:p>
    <w:bookmarkEnd w:id="3"/>
    <w:bookmarkStart w:name="z9" w:id="4"/>
    <w:p>
      <w:pPr>
        <w:spacing w:after="0"/>
        <w:ind w:left="0"/>
        <w:jc w:val="both"/>
      </w:pPr>
      <w:r>
        <w:rPr>
          <w:rFonts w:ascii="Times New Roman"/>
          <w:b w:val="false"/>
          <w:i w:val="false"/>
          <w:color w:val="000000"/>
          <w:sz w:val="28"/>
        </w:rPr>
        <w:t>
      Остальные виды вышеуказанных разрешений подписываются начальником УАП ДП или лицом исполняющим его обязанности.";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"69. Сотрудник КОГСО формирует личное дело владельца гражданского оружия состоящего из следующих документов:</w:t>
      </w:r>
    </w:p>
    <w:bookmarkEnd w:id="5"/>
    <w:bookmarkStart w:name="z12" w:id="6"/>
    <w:p>
      <w:pPr>
        <w:spacing w:after="0"/>
        <w:ind w:left="0"/>
        <w:jc w:val="both"/>
      </w:pPr>
      <w:r>
        <w:rPr>
          <w:rFonts w:ascii="Times New Roman"/>
          <w:b w:val="false"/>
          <w:i w:val="false"/>
          <w:color w:val="000000"/>
          <w:sz w:val="28"/>
        </w:rPr>
        <w:t>
      1) заявления, послужившего основанием для рассмотрения вопроса о выдаче разрешения на приобретение, хранение или хранение и ношение оружия;</w:t>
      </w:r>
    </w:p>
    <w:bookmarkEnd w:id="6"/>
    <w:bookmarkStart w:name="z13" w:id="7"/>
    <w:p>
      <w:pPr>
        <w:spacing w:after="0"/>
        <w:ind w:left="0"/>
        <w:jc w:val="both"/>
      </w:pPr>
      <w:r>
        <w:rPr>
          <w:rFonts w:ascii="Times New Roman"/>
          <w:b w:val="false"/>
          <w:i w:val="false"/>
          <w:color w:val="000000"/>
          <w:sz w:val="28"/>
        </w:rPr>
        <w:t>
      2) карточки владельца гражданского оружия по форме согласно приложению 17 к настоящей Инструкции;</w:t>
      </w:r>
    </w:p>
    <w:bookmarkEnd w:id="7"/>
    <w:bookmarkStart w:name="z14" w:id="8"/>
    <w:p>
      <w:pPr>
        <w:spacing w:after="0"/>
        <w:ind w:left="0"/>
        <w:jc w:val="both"/>
      </w:pPr>
      <w:r>
        <w:rPr>
          <w:rFonts w:ascii="Times New Roman"/>
          <w:b w:val="false"/>
          <w:i w:val="false"/>
          <w:color w:val="000000"/>
          <w:sz w:val="28"/>
        </w:rPr>
        <w:t xml:space="preserve">
      3) проверочных материалов на владельца оружия (заключение медицинского осмотра по форме № 076/у,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 21579), справки о проверке знания правил безопасного обращения с оружием и об отсутствии судимости, наличия административных правонарушений);</w:t>
      </w:r>
    </w:p>
    <w:bookmarkEnd w:id="8"/>
    <w:bookmarkStart w:name="z15" w:id="9"/>
    <w:p>
      <w:pPr>
        <w:spacing w:after="0"/>
        <w:ind w:left="0"/>
        <w:jc w:val="both"/>
      </w:pPr>
      <w:r>
        <w:rPr>
          <w:rFonts w:ascii="Times New Roman"/>
          <w:b w:val="false"/>
          <w:i w:val="false"/>
          <w:color w:val="000000"/>
          <w:sz w:val="28"/>
        </w:rPr>
        <w:t>
      4) копия разрешения на приобретение оружия или других документов, послуживших основанием для выдачи разрешения на хранение, хранение и ношение оружия;</w:t>
      </w:r>
    </w:p>
    <w:bookmarkEnd w:id="9"/>
    <w:bookmarkStart w:name="z16" w:id="10"/>
    <w:p>
      <w:pPr>
        <w:spacing w:after="0"/>
        <w:ind w:left="0"/>
        <w:jc w:val="both"/>
      </w:pPr>
      <w:r>
        <w:rPr>
          <w:rFonts w:ascii="Times New Roman"/>
          <w:b w:val="false"/>
          <w:i w:val="false"/>
          <w:color w:val="000000"/>
          <w:sz w:val="28"/>
        </w:rPr>
        <w:t>
      5) квитанций об уплате государственной пошлины за регистрацию (перерегистрацию) каждой единицы оружия и выдачу разрешений в сфере оборота гражданского и служебного оружия в соответствии с Налоговым кодексом;</w:t>
      </w:r>
    </w:p>
    <w:bookmarkEnd w:id="10"/>
    <w:bookmarkStart w:name="z17" w:id="11"/>
    <w:p>
      <w:pPr>
        <w:spacing w:after="0"/>
        <w:ind w:left="0"/>
        <w:jc w:val="both"/>
      </w:pPr>
      <w:r>
        <w:rPr>
          <w:rFonts w:ascii="Times New Roman"/>
          <w:b w:val="false"/>
          <w:i w:val="false"/>
          <w:color w:val="000000"/>
          <w:sz w:val="28"/>
        </w:rPr>
        <w:t>
      6) рапортов проверок участкового инспектора полиции (далее – УИП), сотрудника КОГСО о наличии условий для хранения оружия, по форме согласно приложению 18 к настоящей Инструкции;</w:t>
      </w:r>
    </w:p>
    <w:bookmarkEnd w:id="11"/>
    <w:bookmarkStart w:name="z18" w:id="12"/>
    <w:p>
      <w:pPr>
        <w:spacing w:after="0"/>
        <w:ind w:left="0"/>
        <w:jc w:val="both"/>
      </w:pPr>
      <w:r>
        <w:rPr>
          <w:rFonts w:ascii="Times New Roman"/>
          <w:b w:val="false"/>
          <w:i w:val="false"/>
          <w:color w:val="000000"/>
          <w:sz w:val="28"/>
        </w:rPr>
        <w:t>
      7) результатов (материалов) проверок по учетам КНБ, КПСиСУ по линии борьбы с экстремизмом, терроризмом или организованной преступностью, о наличии судимости и административных правонарушений по статьям КРК об АП в соответствии со статьей 19 Закона, освобождения от уголовной ответственности по нереабилитирующим основаниям;</w:t>
      </w:r>
    </w:p>
    <w:bookmarkEnd w:id="12"/>
    <w:bookmarkStart w:name="z19" w:id="13"/>
    <w:p>
      <w:pPr>
        <w:spacing w:after="0"/>
        <w:ind w:left="0"/>
        <w:jc w:val="both"/>
      </w:pPr>
      <w:r>
        <w:rPr>
          <w:rFonts w:ascii="Times New Roman"/>
          <w:b w:val="false"/>
          <w:i w:val="false"/>
          <w:color w:val="000000"/>
          <w:sz w:val="28"/>
        </w:rPr>
        <w:t>
      8) копии документа подтверждающего гражданство Республики Казахстан;</w:t>
      </w:r>
    </w:p>
    <w:bookmarkEnd w:id="13"/>
    <w:bookmarkStart w:name="z20" w:id="14"/>
    <w:p>
      <w:pPr>
        <w:spacing w:after="0"/>
        <w:ind w:left="0"/>
        <w:jc w:val="both"/>
      </w:pPr>
      <w:r>
        <w:rPr>
          <w:rFonts w:ascii="Times New Roman"/>
          <w:b w:val="false"/>
          <w:i w:val="false"/>
          <w:color w:val="000000"/>
          <w:sz w:val="28"/>
        </w:rPr>
        <w:t>
      9) других документов указывающих на законность приобретения, продажи, передачи дарения гражданского оружия.";</w:t>
      </w:r>
    </w:p>
    <w:bookmarkEnd w:id="14"/>
    <w:bookmarkStart w:name="z21" w:id="15"/>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порядке обеспечить:</w:t>
      </w:r>
    </w:p>
    <w:bookmarkEnd w:id="15"/>
    <w:bookmarkStart w:name="z22"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3" w:id="17"/>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17"/>
    <w:bookmarkStart w:name="z24" w:id="1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8"/>
    <w:bookmarkStart w:name="z25" w:id="1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19"/>
    <w:bookmarkStart w:name="z26" w:id="2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br/>
            </w:r>
            <w:r>
              <w:rPr>
                <w:rFonts w:ascii="Times New Roman"/>
                <w:b w:val="false"/>
                <w:i/>
                <w:color w:val="000000"/>
                <w:sz w:val="20"/>
              </w:rPr>
              <w:t xml:space="preserve">Министра внутренних дел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