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fbea" w14:textId="186f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Счетного комитета по контролю за исполнением республиканского бюджета от 30 июля 2020 года № 6-НҚ "Об утверждении Правил проведения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8 июля 2021 года № 7-НҚ. Зарегистрировано в Министерстве юстиции Республики Казахстан 9 июля 2021 года № 23409.</w:t>
      </w:r>
    </w:p>
    <w:p>
      <w:pPr>
        <w:spacing w:after="0"/>
        <w:ind w:left="0"/>
        <w:jc w:val="both"/>
      </w:pPr>
      <w:bookmarkStart w:name="z4" w:id="0"/>
      <w:r>
        <w:rPr>
          <w:rFonts w:ascii="Times New Roman"/>
          <w:b w:val="false"/>
          <w:i w:val="false"/>
          <w:color w:val="000000"/>
          <w:sz w:val="28"/>
        </w:rPr>
        <w:t xml:space="preserve">
      В соответствии с подпунктом 9) пункта 4 статьи 12 Закона Республики Казахстан "О государственном аудите и финансовом контроле"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от 30 июля 2020 года № 6-НҚ "Об утверждении Правил проведения внешнего государственного аудита и финансового контроля" (зарегистрировано в Реестре государственной регистрации нормативных правовых актов № 21070)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утвержденных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4"/>
    <w:bookmarkStart w:name="z10" w:id="5"/>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5"/>
    <w:bookmarkStart w:name="z11" w:id="6"/>
    <w:p>
      <w:pPr>
        <w:spacing w:after="0"/>
        <w:ind w:left="0"/>
        <w:jc w:val="both"/>
      </w:pPr>
      <w:r>
        <w:rPr>
          <w:rFonts w:ascii="Times New Roman"/>
          <w:b w:val="false"/>
          <w:i w:val="false"/>
          <w:color w:val="000000"/>
          <w:sz w:val="28"/>
        </w:rPr>
        <w:t>
      3) постановление – документ органов внешнего государственного аудита и финансового контроля, которым утверждается аудиторское заключение;</w:t>
      </w:r>
    </w:p>
    <w:bookmarkEnd w:id="6"/>
    <w:bookmarkStart w:name="z12" w:id="7"/>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7"/>
    <w:bookmarkStart w:name="z13" w:id="8"/>
    <w:p>
      <w:pPr>
        <w:spacing w:after="0"/>
        <w:ind w:left="0"/>
        <w:jc w:val="both"/>
      </w:pPr>
      <w:r>
        <w:rPr>
          <w:rFonts w:ascii="Times New Roman"/>
          <w:b w:val="false"/>
          <w:i w:val="false"/>
          <w:color w:val="000000"/>
          <w:sz w:val="28"/>
        </w:rPr>
        <w:t>
      5) органы внешнего государственного аудита и финансового контроля (далее – Органы внешнего государственного аудита) – Счетный комитет по контролю за исполнением республиканского бюджета, Ревизионные комиссии;</w:t>
      </w:r>
    </w:p>
    <w:bookmarkEnd w:id="8"/>
    <w:bookmarkStart w:name="z14" w:id="9"/>
    <w:p>
      <w:pPr>
        <w:spacing w:after="0"/>
        <w:ind w:left="0"/>
        <w:jc w:val="both"/>
      </w:pPr>
      <w:r>
        <w:rPr>
          <w:rFonts w:ascii="Times New Roman"/>
          <w:b w:val="false"/>
          <w:i w:val="false"/>
          <w:color w:val="000000"/>
          <w:sz w:val="28"/>
        </w:rPr>
        <w:t>
      6)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9"/>
    <w:bookmarkStart w:name="z15" w:id="10"/>
    <w:p>
      <w:pPr>
        <w:spacing w:after="0"/>
        <w:ind w:left="0"/>
        <w:jc w:val="both"/>
      </w:pPr>
      <w:r>
        <w:rPr>
          <w:rFonts w:ascii="Times New Roman"/>
          <w:b w:val="false"/>
          <w:i w:val="false"/>
          <w:color w:val="000000"/>
          <w:sz w:val="28"/>
        </w:rPr>
        <w:t>
      7) контроль качества государственного аудита – проверка и (или) анализ документов, составляемых государственными аудиторами и иными должностными лицами органов государственного аудита и финансового контроля на предмет соответствия стандартам государственного аудита и финансового контроля при осуществлении государственного аудита;</w:t>
      </w:r>
    </w:p>
    <w:bookmarkEnd w:id="10"/>
    <w:bookmarkStart w:name="z16" w:id="11"/>
    <w:p>
      <w:pPr>
        <w:spacing w:after="0"/>
        <w:ind w:left="0"/>
        <w:jc w:val="both"/>
      </w:pPr>
      <w:r>
        <w:rPr>
          <w:rFonts w:ascii="Times New Roman"/>
          <w:b w:val="false"/>
          <w:i w:val="false"/>
          <w:color w:val="000000"/>
          <w:sz w:val="28"/>
        </w:rPr>
        <w:t>
      8) предписание – обязательный для исполнения акт органов внешнего государственного аудита и финансового контроля, направляемый объектам государственного аудита,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11"/>
    <w:bookmarkStart w:name="z17" w:id="12"/>
    <w:p>
      <w:pPr>
        <w:spacing w:after="0"/>
        <w:ind w:left="0"/>
        <w:jc w:val="both"/>
      </w:pPr>
      <w:r>
        <w:rPr>
          <w:rFonts w:ascii="Times New Roman"/>
          <w:b w:val="false"/>
          <w:i w:val="false"/>
          <w:color w:val="000000"/>
          <w:sz w:val="28"/>
        </w:rPr>
        <w:t xml:space="preserve">
      9) поручение - официальный документ, дающий право на проведение аудиторского мероприятия и проверку исполнения решений органа внешнего государственного аудита и финансового контроля,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26 января 2016 года № 13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13171).";</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"49. На стадии предварительного изучения формулируются цели, вопросы и критерии аудиторского мероприятия.</w:t>
      </w:r>
    </w:p>
    <w:bookmarkEnd w:id="13"/>
    <w:bookmarkStart w:name="z20" w:id="14"/>
    <w:p>
      <w:pPr>
        <w:spacing w:after="0"/>
        <w:ind w:left="0"/>
        <w:jc w:val="both"/>
      </w:pPr>
      <w:r>
        <w:rPr>
          <w:rFonts w:ascii="Times New Roman"/>
          <w:b w:val="false"/>
          <w:i w:val="false"/>
          <w:color w:val="000000"/>
          <w:sz w:val="28"/>
        </w:rPr>
        <w:t>
      Критерии аудита эффективности, сформулированные группой государственного аудита на этапе предварительного изучения и согласованные со структурным подразделением, ответственным за методологическое обеспечение, письмом за подписью члена Счетного комитета, ответственного за аудиторское мероприятие, направляются объекту аудита для обсуждения.</w:t>
      </w:r>
    </w:p>
    <w:bookmarkEnd w:id="14"/>
    <w:bookmarkStart w:name="z21" w:id="15"/>
    <w:p>
      <w:pPr>
        <w:spacing w:after="0"/>
        <w:ind w:left="0"/>
        <w:jc w:val="both"/>
      </w:pPr>
      <w:r>
        <w:rPr>
          <w:rFonts w:ascii="Times New Roman"/>
          <w:b w:val="false"/>
          <w:i w:val="false"/>
          <w:color w:val="000000"/>
          <w:sz w:val="28"/>
        </w:rPr>
        <w:t xml:space="preserve">
      Критерии аудита эффективности, сформулированные группой государственного аудита на этапе предварительного изучения, письмом за подписью члена Ревизионной комиссии, ответственного за аудиторское мероприятие направляются объекту аудита для обсуждения.";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xml:space="preserve">
      "137. Проекты Предписания и Сводного реестра после проведения процедуры контроля качества направляются за подписью члена Счетного комитета (Ревизионной комиссии), ответственного за аудиторское мероприятие, заинтересованным сторонам для рассмотрения не позднее пяти рабочих дней до проведения заседания Счетного комитета (Ревизионной комиссии). </w:t>
      </w:r>
    </w:p>
    <w:bookmarkEnd w:id="16"/>
    <w:bookmarkStart w:name="z24" w:id="17"/>
    <w:p>
      <w:pPr>
        <w:spacing w:after="0"/>
        <w:ind w:left="0"/>
        <w:jc w:val="both"/>
      </w:pPr>
      <w:r>
        <w:rPr>
          <w:rFonts w:ascii="Times New Roman"/>
          <w:b w:val="false"/>
          <w:i w:val="false"/>
          <w:color w:val="000000"/>
          <w:sz w:val="28"/>
        </w:rPr>
        <w:t>
      При несогласии с проектами Предписания и Сводного реестра заинтересованными сторонами в Счетный комитет (Ревизионную комиссию) представляются письменные возражения в срок не более двух рабочих дней со дня их получения.</w:t>
      </w:r>
    </w:p>
    <w:bookmarkEnd w:id="17"/>
    <w:bookmarkStart w:name="z25" w:id="18"/>
    <w:p>
      <w:pPr>
        <w:spacing w:after="0"/>
        <w:ind w:left="0"/>
        <w:jc w:val="both"/>
      </w:pPr>
      <w:r>
        <w:rPr>
          <w:rFonts w:ascii="Times New Roman"/>
          <w:b w:val="false"/>
          <w:i w:val="false"/>
          <w:color w:val="000000"/>
          <w:sz w:val="28"/>
        </w:rPr>
        <w:t>
      Проекты Аудиторского заключения, Сводного реестра и Предписания направляются за подписью члена Счетного комитета (Ревизионной комиссии), ответственного за аудиторское мероприятие объекту государственного аудита для рассмотрения и с целью подготовки к заседанию Счетного комитета (Ревизионной комиссии) не позднее двух рабочих дней до проведения заседания Счетного комитета (Ревизионной комиссии).</w:t>
      </w:r>
    </w:p>
    <w:bookmarkEnd w:id="18"/>
    <w:bookmarkStart w:name="z26" w:id="19"/>
    <w:p>
      <w:pPr>
        <w:spacing w:after="0"/>
        <w:ind w:left="0"/>
        <w:jc w:val="both"/>
      </w:pPr>
      <w:r>
        <w:rPr>
          <w:rFonts w:ascii="Times New Roman"/>
          <w:b w:val="false"/>
          <w:i w:val="false"/>
          <w:color w:val="000000"/>
          <w:sz w:val="28"/>
        </w:rPr>
        <w:t>
      Проекты Аудиторского заключения, Сводного реестра, Постановления и Предписания выносятся на заседание Счетного комитета (Ревизионной комиссии) с учетом рассмотрения возражений объектов государственного аудита и заинтересованных сторон.";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181 изложить в следующей редакции:</w:t>
      </w:r>
    </w:p>
    <w:bookmarkStart w:name="z28" w:id="20"/>
    <w:p>
      <w:pPr>
        <w:spacing w:after="0"/>
        <w:ind w:left="0"/>
        <w:jc w:val="both"/>
      </w:pPr>
      <w:r>
        <w:rPr>
          <w:rFonts w:ascii="Times New Roman"/>
          <w:b w:val="false"/>
          <w:i w:val="false"/>
          <w:color w:val="000000"/>
          <w:sz w:val="28"/>
        </w:rPr>
        <w:t>
      "4) предъявление иска в суд в соответствии с законодательством Республики Казахстан, в том числе для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 и исполнения предписания.";</w:t>
      </w:r>
    </w:p>
    <w:bookmarkEnd w:id="20"/>
    <w:bookmarkStart w:name="z29" w:id="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изложить в следующей редакции:</w:t>
      </w:r>
    </w:p>
    <w:bookmarkEnd w:id="21"/>
    <w:bookmarkStart w:name="z30" w:id="22"/>
    <w:p>
      <w:pPr>
        <w:spacing w:after="0"/>
        <w:ind w:left="0"/>
        <w:jc w:val="both"/>
      </w:pPr>
      <w:r>
        <w:rPr>
          <w:rFonts w:ascii="Times New Roman"/>
          <w:b w:val="false"/>
          <w:i w:val="false"/>
          <w:color w:val="000000"/>
          <w:sz w:val="28"/>
        </w:rPr>
        <w:t>
      "Параграф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 и исполнения предписания";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"196. Предъявление исков в суд Счетным комитетом (Ревизионной комиссией) осуществляется при неисполнении в указанные сроки и отсутствия решения о продлении сроков исполнения порученческих пунктов предписаний, в том числе содержащих необходимость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w:t>
      </w:r>
    </w:p>
    <w:bookmarkEnd w:id="23"/>
    <w:bookmarkStart w:name="z33" w:id="24"/>
    <w:p>
      <w:pPr>
        <w:spacing w:after="0"/>
        <w:ind w:left="0"/>
        <w:jc w:val="both"/>
      </w:pPr>
      <w:r>
        <w:rPr>
          <w:rFonts w:ascii="Times New Roman"/>
          <w:b w:val="false"/>
          <w:i w:val="false"/>
          <w:color w:val="000000"/>
          <w:sz w:val="28"/>
        </w:rPr>
        <w:t>
      2. Отделу контроля качества, методологии и аудита Счетного комитета в установленном законодательством порядке обеспечить:</w:t>
      </w:r>
    </w:p>
    <w:bookmarkEnd w:id="24"/>
    <w:bookmarkStart w:name="z34" w:id="25"/>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25"/>
    <w:bookmarkStart w:name="z35" w:id="26"/>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26"/>
    <w:bookmarkStart w:name="z36" w:id="27"/>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p>
    <w:bookmarkEnd w:id="27"/>
    <w:bookmarkStart w:name="z37" w:id="28"/>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 по</w:t>
            </w:r>
            <w:r>
              <w:br/>
            </w:r>
            <w:r>
              <w:rPr>
                <w:rFonts w:ascii="Times New Roman"/>
                <w:b w:val="false"/>
                <w:i/>
                <w:color w:val="000000"/>
                <w:sz w:val="20"/>
              </w:rPr>
              <w:t>контролю за исполнением</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