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449a" w14:textId="9134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31 октября 2018 года № 49 "Об утверждении критериев оценки степени риска и проверочных листов в области поддержки и защиты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июня 2021 года № 67. Зарегистрирован в Министерстве юстиции Республики Казахстан 8 июля 2021 года № 23366. Утратил илу приказом и.о. Министра национальной экономики Республики Казахстан от 28 ноября 2022 года № 91</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28.11.2022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октября 2018 года № 49 "Об утверждении критериев оценки степени риска и проверочных листов в области поддержки и защиты субъектов частного предпринимательства" (зарегистрирован в Реестре государственной регистрации нормативных правовых актов за № 17699)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в Критериях оценки степени риска в области поддержки и защиты субъектов частного предпринимательства,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критерии оценки степени риска в области поддержки и защиты субъектов частного предпринимательства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а также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с целью проведения проверок и профилактического контроля с посещением субъектов контроля.</w:t>
      </w:r>
    </w:p>
    <w:bookmarkEnd w:id="4"/>
    <w:bookmarkStart w:name="z11" w:id="5"/>
    <w:p>
      <w:pPr>
        <w:spacing w:after="0"/>
        <w:ind w:left="0"/>
        <w:jc w:val="both"/>
      </w:pPr>
      <w:r>
        <w:rPr>
          <w:rFonts w:ascii="Times New Roman"/>
          <w:b w:val="false"/>
          <w:i w:val="false"/>
          <w:color w:val="000000"/>
          <w:sz w:val="28"/>
        </w:rPr>
        <w:t>
      Профилактический контроль с посещением субъектов контроля в области поддержки и защиты субъектов частного предпринимательства направлен на устранение причин и условий совершения правонарушений при осуществлении государственного контроля и надзора в сферах деятельности субъектов частного предпринимательства, выдаче разрешений первой и второй категории, а также при оказании государственной поддержки субъектам частного предпринимательства.";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"8. По объективным критериям к высокой степени риска относятся все субъекты контроля в отобранных регионах (области, городе республиканского значения, столице), осуществляющие:</w:t>
      </w:r>
    </w:p>
    <w:bookmarkEnd w:id="6"/>
    <w:bookmarkStart w:name="z14" w:id="7"/>
    <w:p>
      <w:pPr>
        <w:spacing w:after="0"/>
        <w:ind w:left="0"/>
        <w:jc w:val="both"/>
      </w:pPr>
      <w:r>
        <w:rPr>
          <w:rFonts w:ascii="Times New Roman"/>
          <w:b w:val="false"/>
          <w:i w:val="false"/>
          <w:color w:val="000000"/>
          <w:sz w:val="28"/>
        </w:rPr>
        <w:t xml:space="preserve">
      1) государственный контроль и надзор в сферах деятельности субъектов частного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Кодекса, в целях регулирования отношений в сфере государственного контроля и надзора направленного на установление единых принципов осуществления контрольной и надзорной деятельности, а также защиту прав и законных интересов субъектов частного предпринимательства, в отношении которых осуществляется государственный контроль и надзор;</w:t>
      </w:r>
    </w:p>
    <w:bookmarkEnd w:id="7"/>
    <w:bookmarkStart w:name="z15" w:id="8"/>
    <w:p>
      <w:pPr>
        <w:spacing w:after="0"/>
        <w:ind w:left="0"/>
        <w:jc w:val="both"/>
      </w:pPr>
      <w:r>
        <w:rPr>
          <w:rFonts w:ascii="Times New Roman"/>
          <w:b w:val="false"/>
          <w:i w:val="false"/>
          <w:color w:val="000000"/>
          <w:sz w:val="28"/>
        </w:rPr>
        <w:t xml:space="preserve">
      2) выдачу разрешений первой и второй категории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w:t>
      </w:r>
    </w:p>
    <w:bookmarkEnd w:id="8"/>
    <w:bookmarkStart w:name="z16" w:id="9"/>
    <w:p>
      <w:pPr>
        <w:spacing w:after="0"/>
        <w:ind w:left="0"/>
        <w:jc w:val="both"/>
      </w:pPr>
      <w:r>
        <w:rPr>
          <w:rFonts w:ascii="Times New Roman"/>
          <w:b w:val="false"/>
          <w:i w:val="false"/>
          <w:color w:val="000000"/>
          <w:sz w:val="28"/>
        </w:rPr>
        <w:t>
      3) государственную поддержку субъектам частного предпринимательства.";</w:t>
      </w:r>
    </w:p>
    <w:bookmarkEnd w:id="9"/>
    <w:bookmarkStart w:name="z17" w:id="10"/>
    <w:p>
      <w:pPr>
        <w:spacing w:after="0"/>
        <w:ind w:left="0"/>
        <w:jc w:val="both"/>
      </w:pPr>
      <w:r>
        <w:rPr>
          <w:rFonts w:ascii="Times New Roman"/>
          <w:b w:val="false"/>
          <w:i w:val="false"/>
          <w:color w:val="000000"/>
          <w:sz w:val="28"/>
        </w:rPr>
        <w:t xml:space="preserve">
      Субъективные критерии оценки в области поддержки и защиты субъектов частного предпринимательства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xml:space="preserve">
      Проверочный лист в области поддержки и защиты субъектов предпринимательства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Проверочный лист в области поддержки и защиты субъектов предпринимательства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 утвержденный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
    <w:bookmarkStart w:name="z20" w:id="13"/>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в установленном законодательством порядке обеспечить:</w:t>
      </w:r>
    </w:p>
    <w:bookmarkEnd w:id="13"/>
    <w:bookmarkStart w:name="z21"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2"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5"/>
    <w:bookmarkStart w:name="z23"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7"/>
    <w:bookmarkStart w:name="z25"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 xml:space="preserve">       Комитет по правовой статистике</w:t>
      </w:r>
    </w:p>
    <w:p>
      <w:pPr>
        <w:spacing w:after="0"/>
        <w:ind w:left="0"/>
        <w:jc w:val="both"/>
      </w:pPr>
      <w:r>
        <w:rPr>
          <w:rFonts w:ascii="Times New Roman"/>
          <w:b w:val="false"/>
          <w:i w:val="false"/>
          <w:color w:val="000000"/>
          <w:sz w:val="28"/>
        </w:rPr>
        <w:t xml:space="preserve">       и специальным учетам</w:t>
      </w:r>
    </w:p>
    <w:p>
      <w:pPr>
        <w:spacing w:after="0"/>
        <w:ind w:left="0"/>
        <w:jc w:val="both"/>
      </w:pPr>
      <w:r>
        <w:rPr>
          <w:rFonts w:ascii="Times New Roman"/>
          <w:b w:val="false"/>
          <w:i w:val="false"/>
          <w:color w:val="000000"/>
          <w:sz w:val="28"/>
        </w:rPr>
        <w:t xml:space="preserve">       Генеральной прокуратуры</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 защиты</w:t>
            </w:r>
            <w:r>
              <w:br/>
            </w:r>
            <w:r>
              <w:rPr>
                <w:rFonts w:ascii="Times New Roman"/>
                <w:b w:val="false"/>
                <w:i w:val="false"/>
                <w:color w:val="000000"/>
                <w:sz w:val="20"/>
              </w:rPr>
              <w:t>и поддержки субъектов</w:t>
            </w:r>
            <w:r>
              <w:br/>
            </w:r>
            <w:r>
              <w:rPr>
                <w:rFonts w:ascii="Times New Roman"/>
                <w:b w:val="false"/>
                <w:i w:val="false"/>
                <w:color w:val="000000"/>
                <w:sz w:val="20"/>
              </w:rPr>
              <w:t>частного предпринимательства</w:t>
            </w:r>
          </w:p>
        </w:tc>
      </w:tr>
    </w:tbl>
    <w:bookmarkStart w:name="z30" w:id="20"/>
    <w:p>
      <w:pPr>
        <w:spacing w:after="0"/>
        <w:ind w:left="0"/>
        <w:jc w:val="left"/>
      </w:pPr>
      <w:r>
        <w:rPr>
          <w:rFonts w:ascii="Times New Roman"/>
          <w:b/>
          <w:i w:val="false"/>
          <w:color w:val="000000"/>
        </w:rPr>
        <w:t xml:space="preserve"> Субъективные критерии в области поддержки и защиты субъектов частного предпринимательства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 и сведений, представляемых субъектами контроля и надзора, данные автоматизированных информационных систем, проводимых государственными органами, учреждениями и отраслевыми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проверок и профилактического контроля и надзора с посещением субъекта (объекта) контроля и надзора в отношении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выдаче разрешений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анализа сведений, представляемых уполномоченными органами и организациями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осуществлении государственной поддержки в соотношении к количеству одобренных заявлений на получение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предыдущих проверок и профилактического контроля с посещением субъекта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 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Указание в акте о назначении проверки следующей информации: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предмет назначенной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проверяемый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Указание в акте о назначении профилактического контроля и надзора с посещением субъекта (объекта) контроля и надзора 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4"/>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субъекту (объекту) контроля и надзора уведомления о продлении сроков проверки и профилактического контроля и надзора с посещением субъекта (объекта) контроля и надзора за один рабочий день до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5"/>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6"/>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место и период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7"/>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актах о назначении проверки и профилактического контроля и надзорас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8"/>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проверки и профилактического контроля и надзора с посещением субъектов малого предпринимательства, в том числе субъектов микропредпринимательства в случаях, когда такое приостановление предусмотрено актами Президента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физических и юридических лиц наличия разрешений или уведомлений, не предусмотренных Законом Республики Казахстан "О разрешениях и уведомлениях" (далее – Закон)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9"/>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0"/>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1"/>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2"/>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3"/>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4"/>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5"/>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6"/>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7"/>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на который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лишения (отзыва)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рассмотрение заявлений субъектов частного предпринимательства при осуществлении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надлежащее осуществление государственной поддержки субъектам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обоснованное принятие решения о предоставлении либо отказе в предоставлении мер государственной поддержки субъектам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49</w:t>
            </w:r>
          </w:p>
        </w:tc>
      </w:tr>
    </w:tbl>
    <w:bookmarkStart w:name="z157" w:id="38"/>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bookmarkEnd w:id="38"/>
    <w:p>
      <w:pPr>
        <w:spacing w:after="0"/>
        <w:ind w:left="0"/>
        <w:jc w:val="both"/>
      </w:pPr>
      <w:bookmarkStart w:name="z158" w:id="39"/>
      <w:r>
        <w:rPr>
          <w:rFonts w:ascii="Times New Roman"/>
          <w:b w:val="false"/>
          <w:i w:val="false"/>
          <w:color w:val="000000"/>
          <w:sz w:val="28"/>
        </w:rPr>
        <w:t>
      в отношении: государственных органов и их территориальных подразделений (при их наличии)________________________________________________________________________</w:t>
      </w:r>
    </w:p>
    <w:bookmarkEnd w:id="39"/>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w:t>
      </w:r>
    </w:p>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________________________________</w:t>
      </w:r>
    </w:p>
    <w:p>
      <w:pPr>
        <w:spacing w:after="0"/>
        <w:ind w:left="0"/>
        <w:jc w:val="both"/>
      </w:pPr>
      <w:r>
        <w:rPr>
          <w:rFonts w:ascii="Times New Roman"/>
          <w:b w:val="false"/>
          <w:i w:val="false"/>
          <w:color w:val="000000"/>
          <w:sz w:val="28"/>
        </w:rPr>
        <w:t xml:space="preserve">       Акт о назначении проверки/ профилактического контроля и надзора с посещением субъекта (объекта) контроля и надзора_______________________________________________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контроля 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контроля 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0"/>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 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1"/>
          <w:p>
            <w:pPr>
              <w:spacing w:after="20"/>
              <w:ind w:left="20"/>
              <w:jc w:val="both"/>
            </w:pPr>
            <w:r>
              <w:rPr>
                <w:rFonts w:ascii="Times New Roman"/>
                <w:b w:val="false"/>
                <w:i w:val="false"/>
                <w:color w:val="000000"/>
                <w:sz w:val="20"/>
              </w:rPr>
              <w:t>
Указание в акте о назначении проверки следующей информации: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предмет назначенной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проверяемый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Указание в акте о назначении профилактического контроля и надзора с посещением субъекта (объекта) контроля и надзора 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2"/>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3"/>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субъекта (объекта) контроля и надзора о продлении сроков проверки и профилактического контроля и надзора с посещением субъекта (объекта) контроля и надзора за один рабочий день до продления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4"/>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5"/>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место и период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6"/>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акте о назначении проверки 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7"/>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проверки и профилактического контроля и надзора с посещением субъектов малого предпринимательства, в том числе субъектов микропредпринимательства в случаях, когда такое приостановление предусмотрено актами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48"/>
      <w:r>
        <w:rPr>
          <w:rFonts w:ascii="Times New Roman"/>
          <w:b w:val="false"/>
          <w:i w:val="false"/>
          <w:color w:val="000000"/>
          <w:sz w:val="28"/>
        </w:rPr>
        <w:t>
      Должностное (ые) лицо (а)___________________________________________________</w:t>
      </w:r>
    </w:p>
    <w:bookmarkEnd w:id="48"/>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49</w:t>
            </w:r>
          </w:p>
        </w:tc>
      </w:tr>
    </w:tbl>
    <w:bookmarkStart w:name="z243" w:id="49"/>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bookmarkEnd w:id="49"/>
    <w:p>
      <w:pPr>
        <w:spacing w:after="0"/>
        <w:ind w:left="0"/>
        <w:jc w:val="both"/>
      </w:pPr>
      <w:bookmarkStart w:name="z244" w:id="50"/>
      <w:r>
        <w:rPr>
          <w:rFonts w:ascii="Times New Roman"/>
          <w:b w:val="false"/>
          <w:i w:val="false"/>
          <w:color w:val="000000"/>
          <w:sz w:val="28"/>
        </w:rPr>
        <w:t>
      в отношении: государственных органов и их территориальных подразделений (при их наличии) _______________________________________________________________________</w:t>
      </w:r>
    </w:p>
    <w:bookmarkEnd w:id="50"/>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w:t>
      </w:r>
    </w:p>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w:t>
      </w:r>
    </w:p>
    <w:p>
      <w:pPr>
        <w:spacing w:after="0"/>
        <w:ind w:left="0"/>
        <w:jc w:val="both"/>
      </w:pPr>
      <w:r>
        <w:rPr>
          <w:rFonts w:ascii="Times New Roman"/>
          <w:b w:val="false"/>
          <w:i w:val="false"/>
          <w:color w:val="000000"/>
          <w:sz w:val="28"/>
        </w:rPr>
        <w:t xml:space="preserve">       Акт о назначении проверки/ профилактического контроля и надзора с посещением субъекта (объекта) контроля и надзора 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контроля 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контроля 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физических и юридических лиц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1"/>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2"/>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3"/>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4"/>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5"/>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6"/>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7"/>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8"/>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9"/>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на который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лишения (отзыва)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60"/>
      <w:r>
        <w:rPr>
          <w:rFonts w:ascii="Times New Roman"/>
          <w:b w:val="false"/>
          <w:i w:val="false"/>
          <w:color w:val="000000"/>
          <w:sz w:val="28"/>
        </w:rPr>
        <w:t>
      Должностное (ые) лицо (а)___________________________________________________</w:t>
      </w:r>
    </w:p>
    <w:bookmarkEnd w:id="6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