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bd86" w14:textId="189b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октября 2018 года № 270 "Об установлении требований к минимальному размеру уставного и собственного капитала страхового брокера, порядка формирования активов филиала страхового брокера-нерезидента Республики Казахстан, принимаемых в качестве резерва, и их минимального размера и утверждении Правил осуществления деятельности страхового брокера"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июня 2021 года № 72. Зарегистрировано в Министерстве юстиции Республики Казахстан 19 июня 2021 года № 23109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16-3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270 "Об установлении требований к минимальному размеру уставного и собственного капитала страхового брокера, порядка формирования активов филиала страхового брокера-нерезидента Республики Казахстан, принимаемых в качестве резерва, и их минимального размера и утверждении Правил осуществления деятельности страхового брокера" (зарегистрировано в Реестре государственной регистрации нормативных правовых актов под № 17836)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следующие требования к формированию уставного и собственного капитала страхового брокера: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уставного капитала вновь создаваемого страхового брокера в организационно-правовой форме товарищества с ограниченной ответственностью либо акционерного общества, составляет не менее размера,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товариществах с ограниченной и дополнительной ответственностью"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соответственно;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собственного капитала страхового брокера составляет не менее следующих величин (в месячных расчетных показателях, размер, которого установлен законом Республики Казахстан о республиканском бюджете на соответствующий финансовый год):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страхового брокера, осуществляющего посредническую деятельность по заключению договоров страхования от своего имени и по поручению страхователя – 3 500 (три тысячи пятьсот);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страхового брокера, осуществляющего посредническую деятельность по заключению договоров перестрахования от своего имени и по поручению перестрахователя (цедента) – 80 000 (восемьдесят тысяч);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видов брокерской деятельности минимальный размер собственного капитала страхового брокера составляет не менее размеров, установленных в отношении деятельности страхового брокера по заключению договоров перестрахования.";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Настоящее постановление вводится в действие с 1 января 2019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постановления, который вводится в действие с 1 июля 2021 года, и подлежит официальному опубликованию.".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