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88e8" w14:textId="f038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июня 2021 года № 205. Зарегистрирован в Министерстве юстиции Республики Казахстан 17 июня 2021 года № 23076. Утратил силу приказом Заместителя Премьер-Министра - Министра труда и социальной защиты населения Республики Казахстан от 22 июня 2023 года № 237.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 опубликован 12 июня 2020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"14. Специалист, принимающий заявление и документы формирует запросы в соответствующие ИС через шлюз "электронного правительства":</w:t>
      </w:r>
    </w:p>
    <w:bookmarkEnd w:id="3"/>
    <w:bookmarkStart w:name="z9" w:id="4"/>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4"/>
    <w:bookmarkStart w:name="z10" w:id="5"/>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5"/>
    <w:bookmarkStart w:name="z11" w:id="6"/>
    <w:p>
      <w:pPr>
        <w:spacing w:after="0"/>
        <w:ind w:left="0"/>
        <w:jc w:val="both"/>
      </w:pPr>
      <w:r>
        <w:rPr>
          <w:rFonts w:ascii="Times New Roman"/>
          <w:b w:val="false"/>
          <w:i w:val="false"/>
          <w:color w:val="000000"/>
          <w:sz w:val="28"/>
        </w:rPr>
        <w:t>
      при обращении за назначением социальной выплаты:</w:t>
      </w:r>
    </w:p>
    <w:bookmarkEnd w:id="6"/>
    <w:bookmarkStart w:name="z12" w:id="7"/>
    <w:p>
      <w:pPr>
        <w:spacing w:after="0"/>
        <w:ind w:left="0"/>
        <w:jc w:val="both"/>
      </w:pPr>
      <w:r>
        <w:rPr>
          <w:rFonts w:ascii="Times New Roman"/>
          <w:b w:val="false"/>
          <w:i w:val="false"/>
          <w:color w:val="000000"/>
          <w:sz w:val="28"/>
        </w:rPr>
        <w:t>
      на случай утраты трудоспособности – в ИС "Централизованный банк данных лиц, имеющих инвалидность" по справкам об установлении степени утраты общей трудоспособности, о проведении освидетельствования и установлении группы инвалидности;</w:t>
      </w:r>
    </w:p>
    <w:bookmarkEnd w:id="7"/>
    <w:bookmarkStart w:name="z13" w:id="8"/>
    <w:p>
      <w:pPr>
        <w:spacing w:after="0"/>
        <w:ind w:left="0"/>
        <w:jc w:val="both"/>
      </w:pPr>
      <w:r>
        <w:rPr>
          <w:rFonts w:ascii="Times New Roman"/>
          <w:b w:val="false"/>
          <w:i w:val="false"/>
          <w:color w:val="000000"/>
          <w:sz w:val="28"/>
        </w:rPr>
        <w:t>
      на случай потери кормильца:</w:t>
      </w:r>
    </w:p>
    <w:bookmarkEnd w:id="8"/>
    <w:bookmarkStart w:name="z14" w:id="9"/>
    <w:p>
      <w:pPr>
        <w:spacing w:after="0"/>
        <w:ind w:left="0"/>
        <w:jc w:val="both"/>
      </w:pPr>
      <w:r>
        <w:rPr>
          <w:rFonts w:ascii="Times New Roman"/>
          <w:b w:val="false"/>
          <w:i w:val="false"/>
          <w:color w:val="000000"/>
          <w:sz w:val="28"/>
        </w:rPr>
        <w:t>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bookmarkEnd w:id="9"/>
    <w:bookmarkStart w:name="z15" w:id="10"/>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bookmarkEnd w:id="10"/>
    <w:bookmarkStart w:name="z16" w:id="11"/>
    <w:p>
      <w:pPr>
        <w:spacing w:after="0"/>
        <w:ind w:left="0"/>
        <w:jc w:val="both"/>
      </w:pPr>
      <w:r>
        <w:rPr>
          <w:rFonts w:ascii="Times New Roman"/>
          <w:b w:val="false"/>
          <w:i w:val="false"/>
          <w:color w:val="000000"/>
          <w:sz w:val="28"/>
        </w:rPr>
        <w:t>
      в ИС "е-Попечительство" по справке об установлении опеки (попечительства) над ребенком;</w:t>
      </w:r>
    </w:p>
    <w:bookmarkEnd w:id="11"/>
    <w:bookmarkStart w:name="z17" w:id="12"/>
    <w:p>
      <w:pPr>
        <w:spacing w:after="0"/>
        <w:ind w:left="0"/>
        <w:jc w:val="both"/>
      </w:pPr>
      <w:r>
        <w:rPr>
          <w:rFonts w:ascii="Times New Roman"/>
          <w:b w:val="false"/>
          <w:i w:val="false"/>
          <w:color w:val="000000"/>
          <w:sz w:val="28"/>
        </w:rPr>
        <w:t>
      на случай потери работы – в ИС "Рынок труда" по справке уполномоченного органа по вопросам занятости о регистрации заявителя в качестве безработного;</w:t>
      </w:r>
    </w:p>
    <w:bookmarkEnd w:id="12"/>
    <w:bookmarkStart w:name="z18" w:id="13"/>
    <w:p>
      <w:pPr>
        <w:spacing w:after="0"/>
        <w:ind w:left="0"/>
        <w:jc w:val="both"/>
      </w:pPr>
      <w:r>
        <w:rPr>
          <w:rFonts w:ascii="Times New Roman"/>
          <w:b w:val="false"/>
          <w:i w:val="false"/>
          <w:color w:val="000000"/>
          <w:sz w:val="28"/>
        </w:rPr>
        <w:t>
      на случаи потери дохода в связи с беременностью и родами, усыновлением (удочерением) новорожденного ребенка (детей):</w:t>
      </w:r>
    </w:p>
    <w:bookmarkEnd w:id="13"/>
    <w:bookmarkStart w:name="z19" w:id="14"/>
    <w:p>
      <w:pPr>
        <w:spacing w:after="0"/>
        <w:ind w:left="0"/>
        <w:jc w:val="both"/>
      </w:pPr>
      <w:r>
        <w:rPr>
          <w:rFonts w:ascii="Times New Roman"/>
          <w:b w:val="false"/>
          <w:i w:val="false"/>
          <w:color w:val="000000"/>
          <w:sz w:val="28"/>
        </w:rPr>
        <w:t>
      в ИС "РБиЖФ" по листу временной нетрудоспособности, выданного в связи с беременностью и родами, усыновлением (удочерением) новорожденного ребенка (детей);</w:t>
      </w:r>
    </w:p>
    <w:bookmarkEnd w:id="14"/>
    <w:bookmarkStart w:name="z20" w:id="15"/>
    <w:p>
      <w:pPr>
        <w:spacing w:after="0"/>
        <w:ind w:left="0"/>
        <w:jc w:val="both"/>
      </w:pPr>
      <w:r>
        <w:rPr>
          <w:rFonts w:ascii="Times New Roman"/>
          <w:b w:val="false"/>
          <w:i w:val="false"/>
          <w:color w:val="000000"/>
          <w:sz w:val="28"/>
        </w:rPr>
        <w:t>
      в ИС "Интегрированная налоговая информационная система" по сведениям о государственной регистрации заявителя в качестве индивидуального предпринимателя, лиц, занимающихся частной практикой, а также глав крестьянских или фермерских хозяйств и в ИС "Централизованные унифицированные лицевые счета" по выписке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лицом, занимающимся частной практикой, а также главой крестьянского или фермерского хозяйства) за последние двенадцать календарных месяцев, предшествующих месяцу, в котором наступило право на социальную выплату;</w:t>
      </w:r>
    </w:p>
    <w:bookmarkEnd w:id="15"/>
    <w:bookmarkStart w:name="z21" w:id="16"/>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(в случаях смены фамилии родителя содержащейся в полученных сведениях), о смерти ребенка (детей) либо справки, содержащей сведения из записей актов гражданского состояния о смерти.</w:t>
      </w:r>
    </w:p>
    <w:bookmarkEnd w:id="16"/>
    <w:bookmarkStart w:name="z22" w:id="17"/>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3) абонентское устройство сотовой связи.</w:t>
            </w:r>
          </w:p>
        </w:tc>
      </w:tr>
    </w:tbl>
    <w:bookmarkStart w:name="z28" w:id="22"/>
    <w:p>
      <w:pPr>
        <w:spacing w:after="0"/>
        <w:ind w:left="0"/>
        <w:jc w:val="both"/>
      </w:pPr>
      <w:r>
        <w:rPr>
          <w:rFonts w:ascii="Times New Roman"/>
          <w:b w:val="false"/>
          <w:i w:val="false"/>
          <w:color w:val="000000"/>
          <w:sz w:val="28"/>
        </w:rPr>
        <w:t>
      ";</w:t>
      </w:r>
    </w:p>
    <w:bookmarkEnd w:id="22"/>
    <w:bookmarkStart w:name="z29" w:id="23"/>
    <w:p>
      <w:pPr>
        <w:spacing w:after="0"/>
        <w:ind w:left="0"/>
        <w:jc w:val="both"/>
      </w:pPr>
      <w:r>
        <w:rPr>
          <w:rFonts w:ascii="Times New Roman"/>
          <w:b w:val="false"/>
          <w:i w:val="false"/>
          <w:color w:val="000000"/>
          <w:sz w:val="28"/>
        </w:rPr>
        <w:t xml:space="preserve">
      строку, порядковый номер 4, изложить в следующей редакции: </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Бумажная/проактивная/оказываемая по принципу "одного заявления"</w:t>
            </w:r>
          </w:p>
        </w:tc>
      </w:tr>
    </w:tbl>
    <w:bookmarkStart w:name="z31" w:id="25"/>
    <w:p>
      <w:pPr>
        <w:spacing w:after="0"/>
        <w:ind w:left="0"/>
        <w:jc w:val="both"/>
      </w:pPr>
      <w:r>
        <w:rPr>
          <w:rFonts w:ascii="Times New Roman"/>
          <w:b w:val="false"/>
          <w:i w:val="false"/>
          <w:color w:val="000000"/>
          <w:sz w:val="28"/>
        </w:rPr>
        <w:t>
      ";</w:t>
      </w:r>
    </w:p>
    <w:bookmarkEnd w:id="25"/>
    <w:bookmarkStart w:name="z32" w:id="2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6"/>
    <w:bookmarkStart w:name="z33"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3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и следующие документы: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в соответствии с пунктом 1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 При подаче услугополучателем документов, в подразделение МСЭ указанных в настоящем пункте услугополучателю выдается вручается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посредством абонентского устройства сотовой связи, а также услугополучателю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bl>
    <w:bookmarkStart w:name="z41" w:id="29"/>
    <w:p>
      <w:pPr>
        <w:spacing w:after="0"/>
        <w:ind w:left="0"/>
        <w:jc w:val="both"/>
      </w:pPr>
      <w:r>
        <w:rPr>
          <w:rFonts w:ascii="Times New Roman"/>
          <w:b w:val="false"/>
          <w:i w:val="false"/>
          <w:color w:val="000000"/>
          <w:sz w:val="28"/>
        </w:rPr>
        <w:t>
      ";</w:t>
      </w:r>
    </w:p>
    <w:bookmarkEnd w:id="29"/>
    <w:bookmarkStart w:name="z4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1"/>
    <w:bookmarkStart w:name="z44"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смерти кормильца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0"/>
              </w:rPr>
              <w:t>приложению 31</w:t>
            </w:r>
            <w:r>
              <w:rPr>
                <w:rFonts w:ascii="Times New Roman"/>
                <w:b w:val="false"/>
                <w:i w:val="false"/>
                <w:color w:val="000000"/>
                <w:sz w:val="20"/>
              </w:rPr>
              <w:t xml:space="preserve"> к Правилам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утвержденными приказом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за № 20838) (далее – Правила) (обновляется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bl>
    <w:bookmarkStart w:name="z56" w:id="34"/>
    <w:p>
      <w:pPr>
        <w:spacing w:after="0"/>
        <w:ind w:left="0"/>
        <w:jc w:val="both"/>
      </w:pPr>
      <w:r>
        <w:rPr>
          <w:rFonts w:ascii="Times New Roman"/>
          <w:b w:val="false"/>
          <w:i w:val="false"/>
          <w:color w:val="000000"/>
          <w:sz w:val="28"/>
        </w:rPr>
        <w:t>
      ";</w:t>
      </w:r>
    </w:p>
    <w:bookmarkEnd w:id="34"/>
    <w:bookmarkStart w:name="z57"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35"/>
    <w:bookmarkStart w:name="z58" w:id="3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6"/>
    <w:bookmarkStart w:name="z59"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Центр занятости населения предоставляет заявление по форме согласно приложению 4 к настоящим Правилам и следующие документы: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Центр занятости населения указанных в настоящем пункте услугополучателю выдается вручается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Центр занятости населения указанных в настоящем пункте услугополучателю выдается вручается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на случай потери работы – заявление на назначения социальной выплаты на случай потери работы через портал в форме электронного документа, удостоверенного электронной цифровой подписью услугополучателя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удостоверяющем личность услугополучателя, о регистрации в качестве безработного центром занятости населения,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bl>
    <w:bookmarkStart w:name="z74" w:id="39"/>
    <w:p>
      <w:pPr>
        <w:spacing w:after="0"/>
        <w:ind w:left="0"/>
        <w:jc w:val="both"/>
      </w:pPr>
      <w:r>
        <w:rPr>
          <w:rFonts w:ascii="Times New Roman"/>
          <w:b w:val="false"/>
          <w:i w:val="false"/>
          <w:color w:val="000000"/>
          <w:sz w:val="28"/>
        </w:rPr>
        <w:t>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приложению к настоящему приказу.</w:t>
      </w:r>
    </w:p>
    <w:bookmarkStart w:name="z7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w:t>
      </w:r>
    </w:p>
    <w:bookmarkEnd w:id="40"/>
    <w:bookmarkStart w:name="z77" w:id="41"/>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1"/>
    <w:bookmarkStart w:name="z78"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3"/>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(свидетельства) о рождении ребенка (детей)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 зависимости от их наличия)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установления опеки (попечительства), представляется документ, подтверждающий установление опеки (попечительства) над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заявление на назначение через портал в форме электронного документа, удостоверенного ЭЦП услугополучателя,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bl>
    <w:bookmarkStart w:name="z97" w:id="44"/>
    <w:p>
      <w:pPr>
        <w:spacing w:after="0"/>
        <w:ind w:left="0"/>
        <w:jc w:val="both"/>
      </w:pPr>
      <w:r>
        <w:rPr>
          <w:rFonts w:ascii="Times New Roman"/>
          <w:b w:val="false"/>
          <w:i w:val="false"/>
          <w:color w:val="000000"/>
          <w:sz w:val="28"/>
        </w:rPr>
        <w:t>
      ";</w:t>
      </w:r>
    </w:p>
    <w:bookmarkEnd w:id="44"/>
    <w:bookmarkStart w:name="z98" w:id="45"/>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45"/>
    <w:bookmarkStart w:name="z99" w:id="4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6"/>
    <w:bookmarkStart w:name="z100" w:id="4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7"/>
    <w:bookmarkStart w:name="z101"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48"/>
    <w:bookmarkStart w:name="z102" w:id="4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Биржанова Е.Е.</w:t>
      </w:r>
    </w:p>
    <w:bookmarkEnd w:id="49"/>
    <w:bookmarkStart w:name="z103"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исчисления (определения), </w:t>
            </w:r>
            <w:r>
              <w:br/>
            </w:r>
            <w:r>
              <w:rPr>
                <w:rFonts w:ascii="Times New Roman"/>
                <w:b w:val="false"/>
                <w:i w:val="false"/>
                <w:color w:val="000000"/>
                <w:sz w:val="20"/>
              </w:rPr>
              <w:t xml:space="preserve">размеров социальных выплат, </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 xml:space="preserve">прекращения и осуществления </w:t>
            </w:r>
            <w:r>
              <w:br/>
            </w:r>
            <w:r>
              <w:rPr>
                <w:rFonts w:ascii="Times New Roman"/>
                <w:b w:val="false"/>
                <w:i w:val="false"/>
                <w:color w:val="000000"/>
                <w:sz w:val="20"/>
              </w:rPr>
              <w:t xml:space="preserve">социальных выплат из </w:t>
            </w:r>
            <w:r>
              <w:br/>
            </w:r>
            <w:r>
              <w:rPr>
                <w:rFonts w:ascii="Times New Roman"/>
                <w:b w:val="false"/>
                <w:i w:val="false"/>
                <w:color w:val="000000"/>
                <w:sz w:val="20"/>
              </w:rPr>
              <w:t xml:space="preserve">Государственного фонда </w:t>
            </w:r>
            <w:r>
              <w:br/>
            </w:r>
            <w:r>
              <w:rPr>
                <w:rFonts w:ascii="Times New Roman"/>
                <w:b w:val="false"/>
                <w:i w:val="false"/>
                <w:color w:val="000000"/>
                <w:sz w:val="20"/>
              </w:rPr>
              <w:t>социального страхования</w:t>
            </w:r>
            <w:r>
              <w:br/>
            </w:r>
            <w:r>
              <w:rPr>
                <w:rFonts w:ascii="Times New Roman"/>
                <w:b w:val="false"/>
                <w:i w:val="false"/>
                <w:color w:val="000000"/>
                <w:sz w:val="20"/>
              </w:rPr>
              <w:t xml:space="preserve"> 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социальной выплаты на случаи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"Государственный фонд социального страхования" и его филиалы (далее - Фонд)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1"/>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51"/>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2"/>
          <w:p>
            <w:pPr>
              <w:spacing w:after="20"/>
              <w:ind w:left="20"/>
              <w:jc w:val="both"/>
            </w:pPr>
            <w:r>
              <w:rPr>
                <w:rFonts w:ascii="Times New Roman"/>
                <w:b w:val="false"/>
                <w:i w:val="false"/>
                <w:color w:val="000000"/>
                <w:sz w:val="20"/>
              </w:rPr>
              <w:t>
8 (восемь) рабочих дней.</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3"/>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4"/>
          <w:p>
            <w:pPr>
              <w:spacing w:after="20"/>
              <w:ind w:left="20"/>
              <w:jc w:val="both"/>
            </w:pPr>
            <w:r>
              <w:rPr>
                <w:rFonts w:ascii="Times New Roman"/>
                <w:b w:val="false"/>
                <w:i w:val="false"/>
                <w:color w:val="000000"/>
                <w:sz w:val="20"/>
              </w:rPr>
              <w:t xml:space="preserve">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5"/>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6"/>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7"/>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выдачи листа временной нетрудоспособнойсти в связи с беременностью и родами, наличие социальных отчислений у услугополучателя за месяц предшествующей дате освобождения от работы по Листу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