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d033" w14:textId="150d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выполнения компенсации потери биоразнообразия</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19 мая 2021 года № 151. Зарегистрирован в Министерстве юстиции Республики Казахстан 28 мая 2021 года № 22849.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 июля 2021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Экологического Кодекса Республики Казахстан от 2 января 2021 года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выполнения компенсации потери биоразнообразия.</w:t>
      </w:r>
    </w:p>
    <w:bookmarkEnd w:id="1"/>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2021 года № 151</w:t>
            </w:r>
          </w:p>
        </w:tc>
      </w:tr>
    </w:tbl>
    <w:bookmarkStart w:name="z15" w:id="8"/>
    <w:p>
      <w:pPr>
        <w:spacing w:after="0"/>
        <w:ind w:left="0"/>
        <w:jc w:val="left"/>
      </w:pPr>
      <w:r>
        <w:rPr>
          <w:rFonts w:ascii="Times New Roman"/>
          <w:b/>
          <w:i w:val="false"/>
          <w:color w:val="000000"/>
        </w:rPr>
        <w:t xml:space="preserve"> Правила выполнения компенсации потери биоразнообразия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выполнения компенсации потери биоразнообразия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241 Экологического Кодекса Республики Казахстан от 2 января 2021 года (далее – Экологический Кодекс) и устанавливают порядок выполнения мероприятий по компенсации потери биологического разнообразия.</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9" w:id="12"/>
    <w:p>
      <w:pPr>
        <w:spacing w:after="0"/>
        <w:ind w:left="0"/>
        <w:jc w:val="both"/>
      </w:pPr>
      <w:r>
        <w:rPr>
          <w:rFonts w:ascii="Times New Roman"/>
          <w:b w:val="false"/>
          <w:i w:val="false"/>
          <w:color w:val="000000"/>
          <w:sz w:val="28"/>
        </w:rPr>
        <w:t>
      1) биологическое разнообразие (далее – биоразнообразие) –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bookmarkEnd w:id="12"/>
    <w:bookmarkStart w:name="z20" w:id="13"/>
    <w:p>
      <w:pPr>
        <w:spacing w:after="0"/>
        <w:ind w:left="0"/>
        <w:jc w:val="both"/>
      </w:pPr>
      <w:r>
        <w:rPr>
          <w:rFonts w:ascii="Times New Roman"/>
          <w:b w:val="false"/>
          <w:i w:val="false"/>
          <w:color w:val="000000"/>
          <w:sz w:val="28"/>
        </w:rPr>
        <w:t>
      2) экологическая система (далее – экосистема) – являющийся объективно существующей частью природной среды динамичный комплекс сообществ растений, животных и иных организмов, неживой среды их обитания, взаимодействующих как единое функциональное целое и связанных между собой обменом веществом и энергией, который имеет пространственно-территориальные границы;</w:t>
      </w:r>
    </w:p>
    <w:bookmarkEnd w:id="13"/>
    <w:bookmarkStart w:name="z21" w:id="14"/>
    <w:p>
      <w:pPr>
        <w:spacing w:after="0"/>
        <w:ind w:left="0"/>
        <w:jc w:val="both"/>
      </w:pPr>
      <w:r>
        <w:rPr>
          <w:rFonts w:ascii="Times New Roman"/>
          <w:b w:val="false"/>
          <w:i w:val="false"/>
          <w:color w:val="000000"/>
          <w:sz w:val="28"/>
        </w:rPr>
        <w:t>
      3) среда обитания – тип местности или место естественного обитания того или иного организма или популяции;</w:t>
      </w:r>
    </w:p>
    <w:bookmarkEnd w:id="14"/>
    <w:bookmarkStart w:name="z22" w:id="15"/>
    <w:p>
      <w:pPr>
        <w:spacing w:after="0"/>
        <w:ind w:left="0"/>
        <w:jc w:val="both"/>
      </w:pPr>
      <w:r>
        <w:rPr>
          <w:rFonts w:ascii="Times New Roman"/>
          <w:b w:val="false"/>
          <w:i w:val="false"/>
          <w:color w:val="000000"/>
          <w:sz w:val="28"/>
        </w:rPr>
        <w:t xml:space="preserve">
      4) потеря биоразнообразия – исчезновение или существенное сокращение популяций вида растительного и (или) животного мира на определенной территории (в акватории) в результате антропогенных воздействий,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10 Экологического Кодекса;</w:t>
      </w:r>
    </w:p>
    <w:bookmarkEnd w:id="15"/>
    <w:bookmarkStart w:name="z23" w:id="16"/>
    <w:p>
      <w:pPr>
        <w:spacing w:after="0"/>
        <w:ind w:left="0"/>
        <w:jc w:val="both"/>
      </w:pPr>
      <w:r>
        <w:rPr>
          <w:rFonts w:ascii="Times New Roman"/>
          <w:b w:val="false"/>
          <w:i w:val="false"/>
          <w:color w:val="000000"/>
          <w:sz w:val="28"/>
        </w:rPr>
        <w:t>
      5) документы стратегической экологической оценки (далее – Документы) государственные</w:t>
      </w:r>
      <w:r>
        <w:rPr>
          <w:rFonts w:ascii="Times New Roman"/>
          <w:b w:val="false"/>
          <w:i w:val="false"/>
          <w:color w:val="000000"/>
          <w:sz w:val="28"/>
        </w:rPr>
        <w:t xml:space="preserve"> программы</w:t>
      </w:r>
      <w:r>
        <w:rPr>
          <w:rFonts w:ascii="Times New Roman"/>
          <w:b w:val="false"/>
          <w:i w:val="false"/>
          <w:color w:val="000000"/>
          <w:sz w:val="28"/>
        </w:rPr>
        <w:t xml:space="preserve"> в отраслях, перечисленных в </w:t>
      </w:r>
      <w:r>
        <w:rPr>
          <w:rFonts w:ascii="Times New Roman"/>
          <w:b w:val="false"/>
          <w:i w:val="false"/>
          <w:color w:val="000000"/>
          <w:sz w:val="28"/>
        </w:rPr>
        <w:t>пункте 3</w:t>
      </w:r>
      <w:r>
        <w:rPr>
          <w:rFonts w:ascii="Times New Roman"/>
          <w:b w:val="false"/>
          <w:i w:val="false"/>
          <w:color w:val="000000"/>
          <w:sz w:val="28"/>
        </w:rPr>
        <w:t xml:space="preserve"> статьи 52 Экологического Кодекса, программы развития территорий и генеральные планы населенных пунктов;</w:t>
      </w:r>
    </w:p>
    <w:bookmarkEnd w:id="16"/>
    <w:bookmarkStart w:name="z24" w:id="17"/>
    <w:p>
      <w:pPr>
        <w:spacing w:after="0"/>
        <w:ind w:left="0"/>
        <w:jc w:val="both"/>
      </w:pPr>
      <w:r>
        <w:rPr>
          <w:rFonts w:ascii="Times New Roman"/>
          <w:b w:val="false"/>
          <w:i w:val="false"/>
          <w:color w:val="000000"/>
          <w:sz w:val="28"/>
        </w:rPr>
        <w:t>
      6) оценка воздействия на окружающую среду – процесс выявления, изучения,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w:t>
      </w:r>
    </w:p>
    <w:bookmarkEnd w:id="17"/>
    <w:bookmarkStart w:name="z25" w:id="18"/>
    <w:p>
      <w:pPr>
        <w:spacing w:after="0"/>
        <w:ind w:left="0"/>
        <w:jc w:val="both"/>
      </w:pPr>
      <w:r>
        <w:rPr>
          <w:rFonts w:ascii="Times New Roman"/>
          <w:b w:val="false"/>
          <w:i w:val="false"/>
          <w:color w:val="000000"/>
          <w:sz w:val="28"/>
        </w:rPr>
        <w:t>
      7) намечаемая деятельность – планируемая деятельность физических и юридических лиц (далее – лицо, намеревающееся осуществлять деятельность), связанная со строительством и дальнейшей эксплуатацией производственных и иных объектов, c иного рода вмешательством в окружающую среду, в том числе путем проведения операций по недропользованию, а также внесением в такую деятельность существенных изменений.</w:t>
      </w:r>
    </w:p>
    <w:bookmarkEnd w:id="18"/>
    <w:bookmarkStart w:name="z26" w:id="19"/>
    <w:p>
      <w:pPr>
        <w:spacing w:after="0"/>
        <w:ind w:left="0"/>
        <w:jc w:val="left"/>
      </w:pPr>
      <w:r>
        <w:rPr>
          <w:rFonts w:ascii="Times New Roman"/>
          <w:b/>
          <w:i w:val="false"/>
          <w:color w:val="000000"/>
        </w:rPr>
        <w:t xml:space="preserve"> Глава 2. Планирование мероприятий по компенсации потери биоразнообразия</w:t>
      </w:r>
    </w:p>
    <w:bookmarkEnd w:id="19"/>
    <w:bookmarkStart w:name="z27" w:id="20"/>
    <w:p>
      <w:pPr>
        <w:spacing w:after="0"/>
        <w:ind w:left="0"/>
        <w:jc w:val="both"/>
      </w:pPr>
      <w:r>
        <w:rPr>
          <w:rFonts w:ascii="Times New Roman"/>
          <w:b w:val="false"/>
          <w:i w:val="false"/>
          <w:color w:val="000000"/>
          <w:sz w:val="28"/>
        </w:rPr>
        <w:t>
      3. Программа по выполнению мероприятий по компенсации потери биоразнообразия (далее – Программа) подлежит разработке в случае:</w:t>
      </w:r>
    </w:p>
    <w:bookmarkEnd w:id="20"/>
    <w:bookmarkStart w:name="z28" w:id="21"/>
    <w:p>
      <w:pPr>
        <w:spacing w:after="0"/>
        <w:ind w:left="0"/>
        <w:jc w:val="both"/>
      </w:pPr>
      <w:r>
        <w:rPr>
          <w:rFonts w:ascii="Times New Roman"/>
          <w:b w:val="false"/>
          <w:i w:val="false"/>
          <w:color w:val="000000"/>
          <w:sz w:val="28"/>
        </w:rPr>
        <w:t>
      1) идентификации риска потери биоразнообразия в отчете по стратегической экологической оценке;</w:t>
      </w:r>
    </w:p>
    <w:bookmarkEnd w:id="21"/>
    <w:bookmarkStart w:name="z29" w:id="22"/>
    <w:p>
      <w:pPr>
        <w:spacing w:after="0"/>
        <w:ind w:left="0"/>
        <w:jc w:val="both"/>
      </w:pPr>
      <w:r>
        <w:rPr>
          <w:rFonts w:ascii="Times New Roman"/>
          <w:b w:val="false"/>
          <w:i w:val="false"/>
          <w:color w:val="000000"/>
          <w:sz w:val="28"/>
        </w:rPr>
        <w:t>
      2) идентификации риска потери биоразнообразия в отчете о возможных воздействиях;</w:t>
      </w:r>
    </w:p>
    <w:bookmarkEnd w:id="22"/>
    <w:bookmarkStart w:name="z30" w:id="23"/>
    <w:p>
      <w:pPr>
        <w:spacing w:after="0"/>
        <w:ind w:left="0"/>
        <w:jc w:val="both"/>
      </w:pPr>
      <w:r>
        <w:rPr>
          <w:rFonts w:ascii="Times New Roman"/>
          <w:b w:val="false"/>
          <w:i w:val="false"/>
          <w:color w:val="000000"/>
          <w:sz w:val="28"/>
        </w:rPr>
        <w:t>
      3) выявления факта потери биоразнообразия в процессе и (или) в результате реализации Документа;</w:t>
      </w:r>
    </w:p>
    <w:bookmarkEnd w:id="23"/>
    <w:bookmarkStart w:name="z31" w:id="24"/>
    <w:p>
      <w:pPr>
        <w:spacing w:after="0"/>
        <w:ind w:left="0"/>
        <w:jc w:val="both"/>
      </w:pPr>
      <w:r>
        <w:rPr>
          <w:rFonts w:ascii="Times New Roman"/>
          <w:b w:val="false"/>
          <w:i w:val="false"/>
          <w:color w:val="000000"/>
          <w:sz w:val="28"/>
        </w:rPr>
        <w:t>
      4) выявления факта потери биоразнообразия в процессе и (или) в результате реализации намечаемой деятельности.</w:t>
      </w:r>
    </w:p>
    <w:bookmarkEnd w:id="24"/>
    <w:bookmarkStart w:name="z32" w:id="25"/>
    <w:p>
      <w:pPr>
        <w:spacing w:after="0"/>
        <w:ind w:left="0"/>
        <w:jc w:val="both"/>
      </w:pPr>
      <w:r>
        <w:rPr>
          <w:rFonts w:ascii="Times New Roman"/>
          <w:b w:val="false"/>
          <w:i w:val="false"/>
          <w:color w:val="000000"/>
          <w:sz w:val="28"/>
        </w:rPr>
        <w:t>
      4. Проект Программы разрабатывается в следующие сроки:</w:t>
      </w:r>
    </w:p>
    <w:bookmarkEnd w:id="25"/>
    <w:bookmarkStart w:name="z33" w:id="26"/>
    <w:p>
      <w:pPr>
        <w:spacing w:after="0"/>
        <w:ind w:left="0"/>
        <w:jc w:val="both"/>
      </w:pPr>
      <w:r>
        <w:rPr>
          <w:rFonts w:ascii="Times New Roman"/>
          <w:b w:val="false"/>
          <w:i w:val="false"/>
          <w:color w:val="000000"/>
          <w:sz w:val="28"/>
        </w:rPr>
        <w:t>
      1) в случаях, предусмотренных подпунктом 1) пункта 3 настоящих Правил, в течение одного календарного года после вынесения уполномоченным органом в области охраны окружающей среды заключения об удовлетворительном качестве отчета по стратегической экологической оценке;</w:t>
      </w:r>
    </w:p>
    <w:bookmarkEnd w:id="26"/>
    <w:bookmarkStart w:name="z34" w:id="27"/>
    <w:p>
      <w:pPr>
        <w:spacing w:after="0"/>
        <w:ind w:left="0"/>
        <w:jc w:val="both"/>
      </w:pPr>
      <w:r>
        <w:rPr>
          <w:rFonts w:ascii="Times New Roman"/>
          <w:b w:val="false"/>
          <w:i w:val="false"/>
          <w:color w:val="000000"/>
          <w:sz w:val="28"/>
        </w:rPr>
        <w:t>
      2) в случаях, предусмотренных подпунктом 2) пункта 3 настоящих Правил, в течение одного календарного месяца после вынесения уполномоченным органом в области охраны окружающей среды заключения по результатам оценки воздействия на окружающую среду, содержащего вывод о допустимости реализации намечаемой деятельности при соблюдении условий, указанных в заключении;</w:t>
      </w:r>
    </w:p>
    <w:bookmarkEnd w:id="27"/>
    <w:bookmarkStart w:name="z35" w:id="28"/>
    <w:p>
      <w:pPr>
        <w:spacing w:after="0"/>
        <w:ind w:left="0"/>
        <w:jc w:val="both"/>
      </w:pPr>
      <w:r>
        <w:rPr>
          <w:rFonts w:ascii="Times New Roman"/>
          <w:b w:val="false"/>
          <w:i w:val="false"/>
          <w:color w:val="000000"/>
          <w:sz w:val="28"/>
        </w:rPr>
        <w:t>
      3) в случаях, предусмотренных подпунктом 3) и 4) пункта 3 настоящих Правил, в срок, определенный в предписании об устранении нарушения требований экологического законодательства Республики Казахстан, вынесенном в рамках государственного экологического контроля.</w:t>
      </w:r>
    </w:p>
    <w:bookmarkEnd w:id="28"/>
    <w:bookmarkStart w:name="z36" w:id="29"/>
    <w:p>
      <w:pPr>
        <w:spacing w:after="0"/>
        <w:ind w:left="0"/>
        <w:jc w:val="both"/>
      </w:pPr>
      <w:r>
        <w:rPr>
          <w:rFonts w:ascii="Times New Roman"/>
          <w:b w:val="false"/>
          <w:i w:val="false"/>
          <w:color w:val="000000"/>
          <w:sz w:val="28"/>
        </w:rPr>
        <w:t>
      5. В течение одного рабочего дня после завершения разработки проекта Программы, лицо, разработавшее проект Программы, направляет в уполномоченный орган в области охраны окружающей среды на бумажном носителе или в электронной форме посредством информационно-коммуникационной инфраструктуры "электронного правительства" либо посредством информационно-коммуникационной инфраструктуры, определенной для этих целей уполномоченным органом в области охраны окружающей среды:</w:t>
      </w:r>
    </w:p>
    <w:bookmarkEnd w:id="29"/>
    <w:bookmarkStart w:name="z37" w:id="30"/>
    <w:p>
      <w:pPr>
        <w:spacing w:after="0"/>
        <w:ind w:left="0"/>
        <w:jc w:val="both"/>
      </w:pPr>
      <w:r>
        <w:rPr>
          <w:rFonts w:ascii="Times New Roman"/>
          <w:b w:val="false"/>
          <w:i w:val="false"/>
          <w:color w:val="000000"/>
          <w:sz w:val="28"/>
        </w:rPr>
        <w:t>
      1) сопроводительное письмо, составленное в произвольной форме, содержащее сведения об основаниях разработки Программы согласно пункту 3 настоящих Правил, а также предлагаемые метод (место) проведения, даты и времени начала проведения общественных слушаний;</w:t>
      </w:r>
    </w:p>
    <w:bookmarkEnd w:id="30"/>
    <w:bookmarkStart w:name="z38" w:id="31"/>
    <w:p>
      <w:pPr>
        <w:spacing w:after="0"/>
        <w:ind w:left="0"/>
        <w:jc w:val="both"/>
      </w:pPr>
      <w:r>
        <w:rPr>
          <w:rFonts w:ascii="Times New Roman"/>
          <w:b w:val="false"/>
          <w:i w:val="false"/>
          <w:color w:val="000000"/>
          <w:sz w:val="28"/>
        </w:rPr>
        <w:t>
      2) проект Программы, составленный с учетом требований настоящих Правил.</w:t>
      </w:r>
    </w:p>
    <w:bookmarkEnd w:id="31"/>
    <w:bookmarkStart w:name="z39" w:id="32"/>
    <w:p>
      <w:pPr>
        <w:spacing w:after="0"/>
        <w:ind w:left="0"/>
        <w:jc w:val="both"/>
      </w:pPr>
      <w:r>
        <w:rPr>
          <w:rFonts w:ascii="Times New Roman"/>
          <w:b w:val="false"/>
          <w:i w:val="false"/>
          <w:color w:val="000000"/>
          <w:sz w:val="28"/>
        </w:rPr>
        <w:t>
      6. Уполномоченный орган в области охраны окружающей среды в течение двух рабочих дней после получения документов, указанных в пункте 5 настоящих Правил размещает проект Программы на официальном интернет-ресурсе вместе с объявлением о проведении общественных слушаний.</w:t>
      </w:r>
    </w:p>
    <w:bookmarkEnd w:id="32"/>
    <w:bookmarkStart w:name="z40" w:id="33"/>
    <w:p>
      <w:pPr>
        <w:spacing w:after="0"/>
        <w:ind w:left="0"/>
        <w:jc w:val="both"/>
      </w:pPr>
      <w:r>
        <w:rPr>
          <w:rFonts w:ascii="Times New Roman"/>
          <w:b w:val="false"/>
          <w:i w:val="false"/>
          <w:color w:val="000000"/>
          <w:sz w:val="28"/>
        </w:rPr>
        <w:t>
      7. Общественные слушания по проекту Программы проводятся в соответствии с правилами проведения общественных слушаний, утвержденных уполномоченным органом в области охраны окружающей среды.</w:t>
      </w:r>
    </w:p>
    <w:bookmarkEnd w:id="33"/>
    <w:bookmarkStart w:name="z41" w:id="34"/>
    <w:p>
      <w:pPr>
        <w:spacing w:after="0"/>
        <w:ind w:left="0"/>
        <w:jc w:val="both"/>
      </w:pPr>
      <w:r>
        <w:rPr>
          <w:rFonts w:ascii="Times New Roman"/>
          <w:b w:val="false"/>
          <w:i w:val="false"/>
          <w:color w:val="000000"/>
          <w:sz w:val="28"/>
        </w:rPr>
        <w:t>
      8. Уполномоченный орган в области охраны окружающей среды отказывает в согласовании Программы в случае необоснованного уклонения от устранения или учета замечаний и предложений общественности, а также в случае получения отрицательного заключения, отраженного в протоколе заседания экспертной комиссии.</w:t>
      </w:r>
    </w:p>
    <w:bookmarkEnd w:id="34"/>
    <w:bookmarkStart w:name="z42" w:id="35"/>
    <w:p>
      <w:pPr>
        <w:spacing w:after="0"/>
        <w:ind w:left="0"/>
        <w:jc w:val="left"/>
      </w:pPr>
      <w:r>
        <w:rPr>
          <w:rFonts w:ascii="Times New Roman"/>
          <w:b/>
          <w:i w:val="false"/>
          <w:color w:val="000000"/>
        </w:rPr>
        <w:t xml:space="preserve"> Глава 3. Мероприятия по компенсации потери биоразнообразия и порядок их выполнения</w:t>
      </w:r>
    </w:p>
    <w:bookmarkEnd w:id="35"/>
    <w:bookmarkStart w:name="z43" w:id="36"/>
    <w:p>
      <w:pPr>
        <w:spacing w:after="0"/>
        <w:ind w:left="0"/>
        <w:jc w:val="both"/>
      </w:pPr>
      <w:r>
        <w:rPr>
          <w:rFonts w:ascii="Times New Roman"/>
          <w:b w:val="false"/>
          <w:i w:val="false"/>
          <w:color w:val="000000"/>
          <w:sz w:val="28"/>
        </w:rPr>
        <w:t>
      9. Компенсация потери биоразнообразия должна быть ориентирована на постоянный и долгосрочный прирост биоразнообразия и осуществляется в виде:</w:t>
      </w:r>
    </w:p>
    <w:bookmarkEnd w:id="36"/>
    <w:bookmarkStart w:name="z44" w:id="37"/>
    <w:p>
      <w:pPr>
        <w:spacing w:after="0"/>
        <w:ind w:left="0"/>
        <w:jc w:val="both"/>
      </w:pPr>
      <w:r>
        <w:rPr>
          <w:rFonts w:ascii="Times New Roman"/>
          <w:b w:val="false"/>
          <w:i w:val="false"/>
          <w:color w:val="000000"/>
          <w:sz w:val="28"/>
        </w:rPr>
        <w:t>
      1) восстановления биоразнообразия, утраченного в результате осуществленной деятельности;</w:t>
      </w:r>
    </w:p>
    <w:bookmarkEnd w:id="37"/>
    <w:bookmarkStart w:name="z45" w:id="38"/>
    <w:p>
      <w:pPr>
        <w:spacing w:after="0"/>
        <w:ind w:left="0"/>
        <w:jc w:val="both"/>
      </w:pPr>
      <w:r>
        <w:rPr>
          <w:rFonts w:ascii="Times New Roman"/>
          <w:b w:val="false"/>
          <w:i w:val="false"/>
          <w:color w:val="000000"/>
          <w:sz w:val="28"/>
        </w:rPr>
        <w:t>
      2) внедрения на основе результатов научных исследований такого же или другого, имеющего не менее важное значение для окружающей среды вида биоразнообразия на той же территории и (или) на другой территории, где такое биоразнообразие имеет более важное значение.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экологии и природных ресурсов РК от 15.10.2025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10. При определении мероприятий по компенсации потери биоразнообразия и разработке Программы используются следующие принципы сохранения биоразнообразия:</w:t>
      </w:r>
    </w:p>
    <w:bookmarkEnd w:id="39"/>
    <w:bookmarkStart w:name="z47" w:id="40"/>
    <w:p>
      <w:pPr>
        <w:spacing w:after="0"/>
        <w:ind w:left="0"/>
        <w:jc w:val="both"/>
      </w:pPr>
      <w:r>
        <w:rPr>
          <w:rFonts w:ascii="Times New Roman"/>
          <w:b w:val="false"/>
          <w:i w:val="false"/>
          <w:color w:val="000000"/>
          <w:sz w:val="28"/>
        </w:rPr>
        <w:t>
      1) организменный, обеспечивающий сохранение организмов и их воспроизводство, а также сохранение генотипов;</w:t>
      </w:r>
    </w:p>
    <w:bookmarkEnd w:id="40"/>
    <w:bookmarkStart w:name="z48" w:id="41"/>
    <w:p>
      <w:pPr>
        <w:spacing w:after="0"/>
        <w:ind w:left="0"/>
        <w:jc w:val="both"/>
      </w:pPr>
      <w:r>
        <w:rPr>
          <w:rFonts w:ascii="Times New Roman"/>
          <w:b w:val="false"/>
          <w:i w:val="false"/>
          <w:color w:val="000000"/>
          <w:sz w:val="28"/>
        </w:rPr>
        <w:t>
      2) популяционный, обеспечивающий сохранение и восстановление численности и местообитаний популяций, позволяет поддерживать их здоровье, сохранять внутрипопуляционное генетическое разнообразие и разнообразие элементов внутрипопуляционной структуры, а также уникальность популяции;</w:t>
      </w:r>
    </w:p>
    <w:bookmarkEnd w:id="41"/>
    <w:bookmarkStart w:name="z49" w:id="42"/>
    <w:p>
      <w:pPr>
        <w:spacing w:after="0"/>
        <w:ind w:left="0"/>
        <w:jc w:val="both"/>
      </w:pPr>
      <w:r>
        <w:rPr>
          <w:rFonts w:ascii="Times New Roman"/>
          <w:b w:val="false"/>
          <w:i w:val="false"/>
          <w:color w:val="000000"/>
          <w:sz w:val="28"/>
        </w:rPr>
        <w:t>
      3) видовой, позволяющий сохранять и восстанавливать численность и ареалы видов, видовую пространственно-генетическую популяционную структуру и разнообразие популяций и внутривидовых форм;</w:t>
      </w:r>
    </w:p>
    <w:bookmarkEnd w:id="42"/>
    <w:bookmarkStart w:name="z50" w:id="43"/>
    <w:p>
      <w:pPr>
        <w:spacing w:after="0"/>
        <w:ind w:left="0"/>
        <w:jc w:val="both"/>
      </w:pPr>
      <w:r>
        <w:rPr>
          <w:rFonts w:ascii="Times New Roman"/>
          <w:b w:val="false"/>
          <w:i w:val="false"/>
          <w:color w:val="000000"/>
          <w:sz w:val="28"/>
        </w:rPr>
        <w:t>
      4) биоценотический, способствующий сохранению и восстановлению природных сообществ, их видового и функционального разнообразия, а также поддерживать естественные процессы формирования сообществ;</w:t>
      </w:r>
    </w:p>
    <w:bookmarkEnd w:id="43"/>
    <w:bookmarkStart w:name="z51" w:id="44"/>
    <w:p>
      <w:pPr>
        <w:spacing w:after="0"/>
        <w:ind w:left="0"/>
        <w:jc w:val="both"/>
      </w:pPr>
      <w:r>
        <w:rPr>
          <w:rFonts w:ascii="Times New Roman"/>
          <w:b w:val="false"/>
          <w:i w:val="false"/>
          <w:color w:val="000000"/>
          <w:sz w:val="28"/>
        </w:rPr>
        <w:t>
      5) экосистемный, обеспечивающий сохранение и восстановление природных экосистем и экологически сбалансированных природно-культурных комплексов и поддержание естественных процессов их развития;</w:t>
      </w:r>
    </w:p>
    <w:bookmarkEnd w:id="44"/>
    <w:bookmarkStart w:name="z52" w:id="45"/>
    <w:p>
      <w:pPr>
        <w:spacing w:after="0"/>
        <w:ind w:left="0"/>
        <w:jc w:val="both"/>
      </w:pPr>
      <w:r>
        <w:rPr>
          <w:rFonts w:ascii="Times New Roman"/>
          <w:b w:val="false"/>
          <w:i w:val="false"/>
          <w:color w:val="000000"/>
          <w:sz w:val="28"/>
        </w:rPr>
        <w:t>
      6) территориальный, направленный на сохранение территориальных комплексов природных экосистем, их разнообразия и пространственной структуры в пределах территориального комплекса, а также сохранение разнообразия экологически сбалансированных природно-культурных комплексов;</w:t>
      </w:r>
    </w:p>
    <w:bookmarkEnd w:id="45"/>
    <w:bookmarkStart w:name="z53" w:id="46"/>
    <w:p>
      <w:pPr>
        <w:spacing w:after="0"/>
        <w:ind w:left="0"/>
        <w:jc w:val="both"/>
      </w:pPr>
      <w:r>
        <w:rPr>
          <w:rFonts w:ascii="Times New Roman"/>
          <w:b w:val="false"/>
          <w:i w:val="false"/>
          <w:color w:val="000000"/>
          <w:sz w:val="28"/>
        </w:rPr>
        <w:t>
      7) биосферный, обеспечивающий сохранение биосферы, глобального видового разнообразия и глобального разнообразия экосистем.</w:t>
      </w:r>
    </w:p>
    <w:bookmarkEnd w:id="46"/>
    <w:bookmarkStart w:name="z54" w:id="47"/>
    <w:p>
      <w:pPr>
        <w:spacing w:after="0"/>
        <w:ind w:left="0"/>
        <w:jc w:val="both"/>
      </w:pPr>
      <w:r>
        <w:rPr>
          <w:rFonts w:ascii="Times New Roman"/>
          <w:b w:val="false"/>
          <w:i w:val="false"/>
          <w:color w:val="000000"/>
          <w:sz w:val="28"/>
        </w:rPr>
        <w:t>
      11. Мероприятия по компенсации потери биоразнообразия, включаемые в Программу должны соответствовать следующим требованиям:</w:t>
      </w:r>
    </w:p>
    <w:bookmarkEnd w:id="47"/>
    <w:bookmarkStart w:name="z55" w:id="48"/>
    <w:p>
      <w:pPr>
        <w:spacing w:after="0"/>
        <w:ind w:left="0"/>
        <w:jc w:val="both"/>
      </w:pPr>
      <w:r>
        <w:rPr>
          <w:rFonts w:ascii="Times New Roman"/>
          <w:b w:val="false"/>
          <w:i w:val="false"/>
          <w:color w:val="000000"/>
          <w:sz w:val="28"/>
        </w:rPr>
        <w:t>
      1) научная обоснованность предлагаемых организационных и технических (технологических) решений;</w:t>
      </w:r>
    </w:p>
    <w:bookmarkEnd w:id="48"/>
    <w:bookmarkStart w:name="z56" w:id="49"/>
    <w:p>
      <w:pPr>
        <w:spacing w:after="0"/>
        <w:ind w:left="0"/>
        <w:jc w:val="both"/>
      </w:pPr>
      <w:r>
        <w:rPr>
          <w:rFonts w:ascii="Times New Roman"/>
          <w:b w:val="false"/>
          <w:i w:val="false"/>
          <w:color w:val="000000"/>
          <w:sz w:val="28"/>
        </w:rPr>
        <w:t>
      2) минимальная вероятность причинения ущерба окружающей среде, экосистемам и биоразнообразию в результате выполнения такого мероприятия;</w:t>
      </w:r>
    </w:p>
    <w:bookmarkEnd w:id="49"/>
    <w:bookmarkStart w:name="z57" w:id="50"/>
    <w:p>
      <w:pPr>
        <w:spacing w:after="0"/>
        <w:ind w:left="0"/>
        <w:jc w:val="both"/>
      </w:pPr>
      <w:r>
        <w:rPr>
          <w:rFonts w:ascii="Times New Roman"/>
          <w:b w:val="false"/>
          <w:i w:val="false"/>
          <w:color w:val="000000"/>
          <w:sz w:val="28"/>
        </w:rPr>
        <w:t>
      3) законность используемых организационных решений, ресурсов, материалов, веществ и инструментов;</w:t>
      </w:r>
    </w:p>
    <w:bookmarkEnd w:id="50"/>
    <w:bookmarkStart w:name="z58" w:id="51"/>
    <w:p>
      <w:pPr>
        <w:spacing w:after="0"/>
        <w:ind w:left="0"/>
        <w:jc w:val="both"/>
      </w:pPr>
      <w:r>
        <w:rPr>
          <w:rFonts w:ascii="Times New Roman"/>
          <w:b w:val="false"/>
          <w:i w:val="false"/>
          <w:color w:val="000000"/>
          <w:sz w:val="28"/>
        </w:rPr>
        <w:t>
      4) возможность документального подтверждения качественных и количественных характеристик использованных ресурсов, материалов, веществ и инструментов, включая аудио- и видеофиксацию процесса выполнения мероприятий.</w:t>
      </w:r>
    </w:p>
    <w:bookmarkEnd w:id="51"/>
    <w:bookmarkStart w:name="z59" w:id="52"/>
    <w:p>
      <w:pPr>
        <w:spacing w:after="0"/>
        <w:ind w:left="0"/>
        <w:jc w:val="both"/>
      </w:pPr>
      <w:r>
        <w:rPr>
          <w:rFonts w:ascii="Times New Roman"/>
          <w:b w:val="false"/>
          <w:i w:val="false"/>
          <w:color w:val="000000"/>
          <w:sz w:val="28"/>
        </w:rPr>
        <w:t>
      12. Восстановление биоразнообразия, утраченного в результате осуществленной деятельности, реализуется посредством искусственного воссоздания утрачиваемых компонентов биологической системы (почва, ландшафт, растения, деревья, насекомые, животные) на той же территории, где ранее находились данные компоненты биологической системы.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экологии и природных ресурсов РК от 15.10.2025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13. В случае невозможности непосредственного восстановления утрачиваемых компонентов биологической системы, компенсация потери биоразнообразия выполняется путем интродукции компонентов биологической системы (растения, деревья, насекомые, животные) за пределами территории, где ранее находились данные компоненты биологической системы, либо путем искусственного создания других ценных для экологической системы компонентов биологической системы (почва, ландшафт, растения, деревья, насекомые, животные).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экологии и природных ресурсов РК от 15.10.2025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14. Надлежащее выполнение компенсации потери биоразнообразия подтверждается своевременным и надлежащим исполнением всех мероприятий, предусмотренных Программой.</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