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cc3b" w14:textId="b5ac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апреля 2021 года № 48. Зарегистрирован в Министерстве юстиции Республики Казахстан 28 апреля 2021 года № 22648.</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i w:val="false"/>
          <w:color w:val="000000"/>
          <w:sz w:val="28"/>
        </w:rPr>
        <w:t xml:space="preserve">Порядок введения в действие настоящего приказа см. </w:t>
      </w:r>
      <w:r>
        <w:rPr>
          <w:rFonts w:ascii="Times New Roman"/>
          <w:b w:val="false"/>
          <w:i w:val="false"/>
          <w:color w:val="000000"/>
          <w:sz w:val="28"/>
        </w:rPr>
        <w:t>п. 4</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ПРИКАЗЫВАЮ:</w:t>
      </w:r>
    </w:p>
    <w:bookmarkEnd w:id="1"/>
    <w:bookmarkStart w:name="z6"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2"/>
    <w:bookmarkStart w:name="z7" w:id="3"/>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четырнадцатого и пятнадцатого абзацев пункта 2 прилагаемого перечня некоторых приказов, утверждаемого настоящим приказом, которые вводятся в действие с 1 апреля 2022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p>
        </w:tc>
      </w:tr>
    </w:tbl>
    <w:bookmarkStart w:name="z16" w:id="10"/>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23 февраля 2009 года № 24 "Об утверждении Методики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(зарегистрирован в Реестре государственной регистрации нормативных правовых актов за № 5604):</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стоимости объекта концессии и суммарной стоимости государственной поддержки деятельности концессионеров и источников возмещения затрат, утвержденной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"24. Сумма компенсации инвестиционных затрат концессионера равна совокупной величине платежей в течение периода эксплуатации объекта концессии.</w:t>
      </w:r>
    </w:p>
    <w:bookmarkEnd w:id="13"/>
    <w:bookmarkStart w:name="z21" w:id="14"/>
    <w:p>
      <w:pPr>
        <w:spacing w:after="0"/>
        <w:ind w:left="0"/>
        <w:jc w:val="both"/>
      </w:pPr>
      <w:r>
        <w:rPr>
          <w:rFonts w:ascii="Times New Roman"/>
          <w:b w:val="false"/>
          <w:i w:val="false"/>
          <w:color w:val="000000"/>
          <w:sz w:val="28"/>
        </w:rPr>
        <w:t>
      При предоставлении по объекту концессии компенсации инвестиционных затрат как отдельно, так и совместно с иными мерами государственной поддержки и выплат из государственного бюджета:</w:t>
      </w:r>
    </w:p>
    <w:bookmarkEnd w:id="14"/>
    <w:bookmarkStart w:name="z22" w:id="15"/>
    <w:p>
      <w:pPr>
        <w:spacing w:after="0"/>
        <w:ind w:left="0"/>
        <w:jc w:val="both"/>
      </w:pPr>
      <w:r>
        <w:rPr>
          <w:rFonts w:ascii="Times New Roman"/>
          <w:b w:val="false"/>
          <w:i w:val="false"/>
          <w:color w:val="000000"/>
          <w:sz w:val="28"/>
        </w:rPr>
        <w:t>
      компенсации инвестиционных затрат не индексируется на уровень инфляции;</w:t>
      </w:r>
    </w:p>
    <w:bookmarkEnd w:id="15"/>
    <w:bookmarkStart w:name="z23" w:id="16"/>
    <w:p>
      <w:pPr>
        <w:spacing w:after="0"/>
        <w:ind w:left="0"/>
        <w:jc w:val="both"/>
      </w:pPr>
      <w:r>
        <w:rPr>
          <w:rFonts w:ascii="Times New Roman"/>
          <w:b w:val="false"/>
          <w:i w:val="false"/>
          <w:color w:val="000000"/>
          <w:sz w:val="28"/>
        </w:rPr>
        <w:t>
      учитываются нормативные документы по ценообразованию в строительстве в соответствии с законодательством об архитектурной, градостроительной и строительной деятельности в Республике Казахстан.</w:t>
      </w:r>
    </w:p>
    <w:bookmarkEnd w:id="16"/>
    <w:bookmarkStart w:name="z24" w:id="17"/>
    <w:p>
      <w:pPr>
        <w:spacing w:after="0"/>
        <w:ind w:left="0"/>
        <w:jc w:val="both"/>
      </w:pPr>
      <w:r>
        <w:rPr>
          <w:rFonts w:ascii="Times New Roman"/>
          <w:b w:val="false"/>
          <w:i w:val="false"/>
          <w:color w:val="000000"/>
          <w:sz w:val="28"/>
        </w:rPr>
        <w:t xml:space="preserve">
      Выплата компенсации инвестиционных затрат осуществляется после ввода объекта концессии в эксплуатацию равными долями в течение срока, составляющего не менее 5 (пяти) лет, в соответствии с договором концессии. </w:t>
      </w:r>
    </w:p>
    <w:bookmarkEnd w:id="17"/>
    <w:bookmarkStart w:name="z25" w:id="18"/>
    <w:p>
      <w:pPr>
        <w:spacing w:after="0"/>
        <w:ind w:left="0"/>
        <w:jc w:val="both"/>
      </w:pPr>
      <w:r>
        <w:rPr>
          <w:rFonts w:ascii="Times New Roman"/>
          <w:b w:val="false"/>
          <w:i w:val="false"/>
          <w:color w:val="000000"/>
          <w:sz w:val="28"/>
        </w:rPr>
        <w:t>
      При этом не допускается перенос сроков выплат компенсации инвестиционных затрат, установленных договором концессии, на более ранние периоды.".</w:t>
      </w:r>
    </w:p>
    <w:bookmarkEnd w:id="18"/>
    <w:bookmarkStart w:name="z26"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w:t>
      </w:r>
    </w:p>
    <w:bookmarkEnd w:id="19"/>
    <w:bookmarkStart w:name="z27"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9" w:id="21"/>
    <w:p>
      <w:pPr>
        <w:spacing w:after="0"/>
        <w:ind w:left="0"/>
        <w:jc w:val="both"/>
      </w:pPr>
      <w:r>
        <w:rPr>
          <w:rFonts w:ascii="Times New Roman"/>
          <w:b w:val="false"/>
          <w:i w:val="false"/>
          <w:color w:val="000000"/>
          <w:sz w:val="28"/>
        </w:rPr>
        <w:t xml:space="preserve">
      "18. Проведение необходимых экспертиз инвестиционного предложения ГИП представляет собой рассмотрение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21"/>
    <w:bookmarkStart w:name="z30" w:id="22"/>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22"/>
    <w:bookmarkStart w:name="z31" w:id="23"/>
    <w:p>
      <w:pPr>
        <w:spacing w:after="0"/>
        <w:ind w:left="0"/>
        <w:jc w:val="both"/>
      </w:pPr>
      <w:r>
        <w:rPr>
          <w:rFonts w:ascii="Times New Roman"/>
          <w:b w:val="false"/>
          <w:i w:val="false"/>
          <w:color w:val="000000"/>
          <w:sz w:val="28"/>
        </w:rPr>
        <w:t>
      В случае, если АБП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АБП.</w:t>
      </w:r>
    </w:p>
    <w:bookmarkEnd w:id="23"/>
    <w:bookmarkStart w:name="z32" w:id="24"/>
    <w:p>
      <w:pPr>
        <w:spacing w:after="0"/>
        <w:ind w:left="0"/>
        <w:jc w:val="both"/>
      </w:pP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АБП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 по структуре согласно приложению 50 к настоящим Правилам.</w:t>
      </w:r>
    </w:p>
    <w:bookmarkEnd w:id="24"/>
    <w:bookmarkStart w:name="z33" w:id="25"/>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 (при наличии).";</w:t>
      </w:r>
    </w:p>
    <w:bookmarkEnd w:id="25"/>
    <w:bookmarkStart w:name="z34"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отбора государственного инвестиционного проекта, утвержденной указанным приказом: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27"/>
    <w:bookmarkStart w:name="z37" w:id="28"/>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bookmarkEnd w:id="28"/>
    <w:bookmarkStart w:name="z38" w:id="29"/>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bookmarkEnd w:id="29"/>
    <w:bookmarkStart w:name="z39" w:id="30"/>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или концессионный проект на стадии их отбора, в том числе собственных денежных средств частного партнера (концессионера).</w:t>
      </w:r>
    </w:p>
    <w:bookmarkEnd w:id="30"/>
    <w:bookmarkStart w:name="z40" w:id="31"/>
    <w:p>
      <w:pPr>
        <w:spacing w:after="0"/>
        <w:ind w:left="0"/>
        <w:jc w:val="both"/>
      </w:pPr>
      <w:r>
        <w:rPr>
          <w:rFonts w:ascii="Times New Roman"/>
          <w:b w:val="false"/>
          <w:i w:val="false"/>
          <w:color w:val="000000"/>
          <w:sz w:val="28"/>
        </w:rPr>
        <w:t>
      При этом, участие собственных денежных средств частного партнера (концессионера) составляет не менее десяти процентов от стоимости объекта государственно-частного партнерства (объекта концессии);</w:t>
      </w:r>
    </w:p>
    <w:bookmarkEnd w:id="31"/>
    <w:bookmarkStart w:name="z41" w:id="32"/>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республиканских проектов государственно-частного партнерства и концессионных проектов.";</w:t>
      </w:r>
    </w:p>
    <w:bookmarkEnd w:id="32"/>
    <w:bookmarkStart w:name="z42" w:id="33"/>
    <w:p>
      <w:pPr>
        <w:spacing w:after="0"/>
        <w:ind w:left="0"/>
        <w:jc w:val="both"/>
      </w:pPr>
      <w:r>
        <w:rPr>
          <w:rFonts w:ascii="Times New Roman"/>
          <w:b w:val="false"/>
          <w:i w:val="false"/>
          <w:color w:val="000000"/>
          <w:sz w:val="28"/>
        </w:rPr>
        <w:t xml:space="preserve">
      дополнить приложением 50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3"/>
    <w:bookmarkStart w:name="z43" w:id="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22 декабря 2014 года № 157 "О некоторых вопросах планирования и реализации концессионных проектов" (зарегистрирован в Реестре государственной регистрации нормативных правовых актов за № 10122):</w:t>
      </w:r>
    </w:p>
    <w:bookmarkEnd w:id="34"/>
    <w:bookmarkStart w:name="z44"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рассмотрения и отбора концессионных проектов,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"5. Перечень объектов, предлагаемых к передаче в концессию, (далее – перечень) формируется уполномоченным органом по государственному планированию в соответствии со статьей 16 Закона.";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"7. Процесс представления, рассмотрения и отбора концессионных проектов состоит из следующих взаимосвязанных этапов:</w:t>
      </w:r>
    </w:p>
    <w:bookmarkEnd w:id="37"/>
    <w:bookmarkStart w:name="z49" w:id="38"/>
    <w:p>
      <w:pPr>
        <w:spacing w:after="0"/>
        <w:ind w:left="0"/>
        <w:jc w:val="both"/>
      </w:pPr>
      <w:r>
        <w:rPr>
          <w:rFonts w:ascii="Times New Roman"/>
          <w:b w:val="false"/>
          <w:i w:val="false"/>
          <w:color w:val="000000"/>
          <w:sz w:val="28"/>
        </w:rPr>
        <w:t>
      1) определение и утверждение первым руководителем государственного органа-разработчика конкурсной документации, либо лицом его замещающим ответственного за разработку конкурсной документации структурного подразделения государственного органа.</w:t>
      </w:r>
    </w:p>
    <w:bookmarkEnd w:id="38"/>
    <w:bookmarkStart w:name="z50" w:id="39"/>
    <w:p>
      <w:pPr>
        <w:spacing w:after="0"/>
        <w:ind w:left="0"/>
        <w:jc w:val="both"/>
      </w:pPr>
      <w:r>
        <w:rPr>
          <w:rFonts w:ascii="Times New Roman"/>
          <w:b w:val="false"/>
          <w:i w:val="false"/>
          <w:color w:val="000000"/>
          <w:sz w:val="28"/>
        </w:rPr>
        <w:t>
      Государственный орган создает Межведомственную проектную группу путем привлечения подведомственных организаций, независимых экспертов, проектных, инжиниринговых, консалтинговых и других компаний, а также заинтересованных государственных органов, Национальной палаты предпринимателей Республики Казахстан, субъектов предпринимательства для обеспечения качества управления проектом.</w:t>
      </w:r>
    </w:p>
    <w:bookmarkEnd w:id="39"/>
    <w:bookmarkStart w:name="z51" w:id="40"/>
    <w:p>
      <w:pPr>
        <w:spacing w:after="0"/>
        <w:ind w:left="0"/>
        <w:jc w:val="both"/>
      </w:pPr>
      <w:r>
        <w:rPr>
          <w:rFonts w:ascii="Times New Roman"/>
          <w:b w:val="false"/>
          <w:i w:val="false"/>
          <w:color w:val="000000"/>
          <w:sz w:val="28"/>
        </w:rPr>
        <w:t>
      Целью деятельности Межведомственной проектной группы является разработка конкурсной документации, с доказанной потребностью реализации концессионного проекта в той или иной отрасли/сфере/регионе.</w:t>
      </w:r>
    </w:p>
    <w:bookmarkEnd w:id="40"/>
    <w:bookmarkStart w:name="z52" w:id="41"/>
    <w:p>
      <w:pPr>
        <w:spacing w:after="0"/>
        <w:ind w:left="0"/>
        <w:jc w:val="both"/>
      </w:pPr>
      <w:r>
        <w:rPr>
          <w:rFonts w:ascii="Times New Roman"/>
          <w:b w:val="false"/>
          <w:i w:val="false"/>
          <w:color w:val="000000"/>
          <w:sz w:val="28"/>
        </w:rPr>
        <w:t>
      Межведомственная проектная группа осуществляет следующие функции:</w:t>
      </w:r>
    </w:p>
    <w:bookmarkEnd w:id="41"/>
    <w:bookmarkStart w:name="z53" w:id="42"/>
    <w:p>
      <w:pPr>
        <w:spacing w:after="0"/>
        <w:ind w:left="0"/>
        <w:jc w:val="both"/>
      </w:pPr>
      <w:r>
        <w:rPr>
          <w:rFonts w:ascii="Times New Roman"/>
          <w:b w:val="false"/>
          <w:i w:val="false"/>
          <w:color w:val="000000"/>
          <w:sz w:val="28"/>
        </w:rPr>
        <w:t>
      изучает поступившие предложения и инициативы по реализации концессионного проекта, отбирает, оценивает, определяет их приоритетность, определяет вид контракта, конкурса, вопросы, связанные с выделением земельных участков, подключением к инженерным сетям, и иные ключевые параметры концессионного проекта;</w:t>
      </w:r>
    </w:p>
    <w:bookmarkEnd w:id="42"/>
    <w:bookmarkStart w:name="z54" w:id="43"/>
    <w:p>
      <w:pPr>
        <w:spacing w:after="0"/>
        <w:ind w:left="0"/>
        <w:jc w:val="both"/>
      </w:pPr>
      <w:r>
        <w:rPr>
          <w:rFonts w:ascii="Times New Roman"/>
          <w:b w:val="false"/>
          <w:i w:val="false"/>
          <w:color w:val="000000"/>
          <w:sz w:val="28"/>
        </w:rPr>
        <w:t>
      принимает рекомендации о целесообразности либо отсутствии целесообразности реализации концессионного проекта путем подписания протокола;</w:t>
      </w:r>
    </w:p>
    <w:bookmarkEnd w:id="43"/>
    <w:bookmarkStart w:name="z55" w:id="44"/>
    <w:p>
      <w:pPr>
        <w:spacing w:after="0"/>
        <w:ind w:left="0"/>
        <w:jc w:val="both"/>
      </w:pPr>
      <w:r>
        <w:rPr>
          <w:rFonts w:ascii="Times New Roman"/>
          <w:b w:val="false"/>
          <w:i w:val="false"/>
          <w:color w:val="000000"/>
          <w:sz w:val="28"/>
        </w:rPr>
        <w:t>
      проводит маркетинговые и иные необходимые исследования по планируемому концессионному проекту;</w:t>
      </w:r>
    </w:p>
    <w:bookmarkEnd w:id="44"/>
    <w:bookmarkStart w:name="z56" w:id="45"/>
    <w:p>
      <w:pPr>
        <w:spacing w:after="0"/>
        <w:ind w:left="0"/>
        <w:jc w:val="both"/>
      </w:pPr>
      <w:r>
        <w:rPr>
          <w:rFonts w:ascii="Times New Roman"/>
          <w:b w:val="false"/>
          <w:i w:val="false"/>
          <w:color w:val="000000"/>
          <w:sz w:val="28"/>
        </w:rPr>
        <w:t>
      производит все необходимые расчеты, в том числе разработку предварительных расчетов концессионного проекта;</w:t>
      </w:r>
    </w:p>
    <w:bookmarkEnd w:id="45"/>
    <w:bookmarkStart w:name="z57" w:id="46"/>
    <w:p>
      <w:pPr>
        <w:spacing w:after="0"/>
        <w:ind w:left="0"/>
        <w:jc w:val="both"/>
      </w:pPr>
      <w:r>
        <w:rPr>
          <w:rFonts w:ascii="Times New Roman"/>
          <w:b w:val="false"/>
          <w:i w:val="false"/>
          <w:color w:val="000000"/>
          <w:sz w:val="28"/>
        </w:rPr>
        <w:t>
      изучает предложения и инициативы по механизмам реализации проекта;</w:t>
      </w:r>
    </w:p>
    <w:bookmarkEnd w:id="46"/>
    <w:bookmarkStart w:name="z58" w:id="47"/>
    <w:p>
      <w:pPr>
        <w:spacing w:after="0"/>
        <w:ind w:left="0"/>
        <w:jc w:val="both"/>
      </w:pPr>
      <w:r>
        <w:rPr>
          <w:rFonts w:ascii="Times New Roman"/>
          <w:b w:val="false"/>
          <w:i w:val="false"/>
          <w:color w:val="000000"/>
          <w:sz w:val="28"/>
        </w:rPr>
        <w:t>
      формирует предложения для включения в конкурсную документацию;</w:t>
      </w:r>
    </w:p>
    <w:bookmarkEnd w:id="47"/>
    <w:bookmarkStart w:name="z59" w:id="48"/>
    <w:p>
      <w:pPr>
        <w:spacing w:after="0"/>
        <w:ind w:left="0"/>
        <w:jc w:val="both"/>
      </w:pPr>
      <w:r>
        <w:rPr>
          <w:rFonts w:ascii="Times New Roman"/>
          <w:b w:val="false"/>
          <w:i w:val="false"/>
          <w:color w:val="000000"/>
          <w:sz w:val="28"/>
        </w:rPr>
        <w:t>
      заслушивает отчеты лиц, вовлеченных в подготовку концессионного проекта, начиная с этапа планирования концессионного проекта до этапа заключения договора концессии;</w:t>
      </w:r>
    </w:p>
    <w:bookmarkEnd w:id="48"/>
    <w:bookmarkStart w:name="z60" w:id="49"/>
    <w:p>
      <w:pPr>
        <w:spacing w:after="0"/>
        <w:ind w:left="0"/>
        <w:jc w:val="both"/>
      </w:pPr>
      <w:r>
        <w:rPr>
          <w:rFonts w:ascii="Times New Roman"/>
          <w:b w:val="false"/>
          <w:i w:val="false"/>
          <w:color w:val="000000"/>
          <w:sz w:val="28"/>
        </w:rPr>
        <w:t>
       осуществляет доработку конкурсной документации концессионного проекта в ходе процесса ее согласования и экспертизы по мере получения замечаний от согласующих уполномоченных органов и организаций. При этом в заключениях по итогам экспертизы или согласования при наличии указываются рекомендации по управлению проектами для Межведомственной проектной группы;</w:t>
      </w:r>
    </w:p>
    <w:bookmarkEnd w:id="49"/>
    <w:bookmarkStart w:name="z61" w:id="50"/>
    <w:p>
      <w:pPr>
        <w:spacing w:after="0"/>
        <w:ind w:left="0"/>
        <w:jc w:val="both"/>
      </w:pPr>
      <w:r>
        <w:rPr>
          <w:rFonts w:ascii="Times New Roman"/>
          <w:b w:val="false"/>
          <w:i w:val="false"/>
          <w:color w:val="000000"/>
          <w:sz w:val="28"/>
        </w:rPr>
        <w:t>
      отслеживает соблюдение сроков и процедур прохождения рассмотрения, согласования, экспертизы и утверждения конкурсной документации концессионного проекта.</w:t>
      </w:r>
    </w:p>
    <w:bookmarkEnd w:id="50"/>
    <w:bookmarkStart w:name="z62" w:id="51"/>
    <w:p>
      <w:pPr>
        <w:spacing w:after="0"/>
        <w:ind w:left="0"/>
        <w:jc w:val="both"/>
      </w:pPr>
      <w:r>
        <w:rPr>
          <w:rFonts w:ascii="Times New Roman"/>
          <w:b w:val="false"/>
          <w:i w:val="false"/>
          <w:color w:val="000000"/>
          <w:sz w:val="28"/>
        </w:rPr>
        <w:t>
      2) государственный орган-разработчик вносит в центральный или местный уполномоченный орган по государственному планированию заявку с приложением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для дальнейшего вынесения на рассмотрение соответствующей бюджетной комиссии вопроса разработки или корректировки, а также проведения необходимых экспертиз конкурсной документации концессионных проектов;</w:t>
      </w:r>
    </w:p>
    <w:bookmarkEnd w:id="51"/>
    <w:bookmarkStart w:name="z63" w:id="52"/>
    <w:p>
      <w:pPr>
        <w:spacing w:after="0"/>
        <w:ind w:left="0"/>
        <w:jc w:val="both"/>
      </w:pPr>
      <w:r>
        <w:rPr>
          <w:rFonts w:ascii="Times New Roman"/>
          <w:b w:val="false"/>
          <w:i w:val="false"/>
          <w:color w:val="000000"/>
          <w:sz w:val="28"/>
        </w:rPr>
        <w:t>
      3) на основании заявки государственного органа – разработчика конкурсной документации по республиканским проектам центральный уполномоченный орган по государственному планированию формирует заключение на разработку или корректировку, а также на проведение необходимых экспертиз конкурсных документаций концессионных проектов, в том числе технико-экономических обоснований (далее – ТЭО), либо по проектам, имеющим разработанные проектно-сметные документации (далее –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Республиканской бюджетной комиссии;</w:t>
      </w:r>
    </w:p>
    <w:bookmarkEnd w:id="52"/>
    <w:bookmarkStart w:name="z64" w:id="53"/>
    <w:p>
      <w:pPr>
        <w:spacing w:after="0"/>
        <w:ind w:left="0"/>
        <w:jc w:val="both"/>
      </w:pPr>
      <w:r>
        <w:rPr>
          <w:rFonts w:ascii="Times New Roman"/>
          <w:b w:val="false"/>
          <w:i w:val="false"/>
          <w:color w:val="000000"/>
          <w:sz w:val="28"/>
        </w:rPr>
        <w:t>
      на основании заявки государственного органа – разработчика конкурсной документации по местным проектам местный уполномоченный орган по государственному планированию формирует заключение на разработку или корректировку, а также проведение необходимых экспертиз конкурсных документаций концессионных проектов, в том числе ТЭО, либо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на привязку имеющейся ПСД к конкретной площадке объекта концессии, и выносит на рассмотрение соответствующей бюджетной комиссии;</w:t>
      </w:r>
    </w:p>
    <w:bookmarkEnd w:id="53"/>
    <w:bookmarkStart w:name="z65" w:id="54"/>
    <w:p>
      <w:pPr>
        <w:spacing w:after="0"/>
        <w:ind w:left="0"/>
        <w:jc w:val="both"/>
      </w:pPr>
      <w:r>
        <w:rPr>
          <w:rFonts w:ascii="Times New Roman"/>
          <w:b w:val="false"/>
          <w:i w:val="false"/>
          <w:color w:val="000000"/>
          <w:sz w:val="28"/>
        </w:rPr>
        <w:t>
      4) разработка, корректировка, проведение необходимых экспертиз и утверждение конкурсной документации:</w:t>
      </w:r>
    </w:p>
    <w:bookmarkEnd w:id="54"/>
    <w:bookmarkStart w:name="z66" w:id="55"/>
    <w:p>
      <w:pPr>
        <w:spacing w:after="0"/>
        <w:ind w:left="0"/>
        <w:jc w:val="both"/>
      </w:pPr>
      <w:r>
        <w:rPr>
          <w:rFonts w:ascii="Times New Roman"/>
          <w:b w:val="false"/>
          <w:i w:val="false"/>
          <w:color w:val="000000"/>
          <w:sz w:val="28"/>
        </w:rPr>
        <w:t>
      в случаях проведения конкурса по выбору концессионера без использования двухэтапных процедур:</w:t>
      </w:r>
    </w:p>
    <w:bookmarkEnd w:id="55"/>
    <w:bookmarkStart w:name="z67" w:id="56"/>
    <w:p>
      <w:pPr>
        <w:spacing w:after="0"/>
        <w:ind w:left="0"/>
        <w:jc w:val="both"/>
      </w:pPr>
      <w:r>
        <w:rPr>
          <w:rFonts w:ascii="Times New Roman"/>
          <w:b w:val="false"/>
          <w:i w:val="false"/>
          <w:color w:val="000000"/>
          <w:sz w:val="28"/>
        </w:rPr>
        <w:t>
      разработка организатором конкурса конкурсной документации, в том числе ТЭО концессионного проекта.</w:t>
      </w:r>
    </w:p>
    <w:bookmarkEnd w:id="56"/>
    <w:bookmarkStart w:name="z68" w:id="57"/>
    <w:p>
      <w:pPr>
        <w:spacing w:after="0"/>
        <w:ind w:left="0"/>
        <w:jc w:val="both"/>
      </w:pPr>
      <w:r>
        <w:rPr>
          <w:rFonts w:ascii="Times New Roman"/>
          <w:b w:val="false"/>
          <w:i w:val="false"/>
          <w:color w:val="000000"/>
          <w:sz w:val="28"/>
        </w:rPr>
        <w:t>
      По проектам, имеющим разработанные ПСД,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p>
    <w:bookmarkEnd w:id="57"/>
    <w:bookmarkStart w:name="z69" w:id="58"/>
    <w:p>
      <w:pPr>
        <w:spacing w:after="0"/>
        <w:ind w:left="0"/>
        <w:jc w:val="both"/>
      </w:pPr>
      <w:r>
        <w:rPr>
          <w:rFonts w:ascii="Times New Roman"/>
          <w:b w:val="false"/>
          <w:i w:val="false"/>
          <w:color w:val="000000"/>
          <w:sz w:val="28"/>
        </w:rPr>
        <w:t>
      Разработка или корректировка конкурсной документации осуществляется с привязкой имеющейся ПСД к конкретной площадке объекта концессии.</w:t>
      </w:r>
    </w:p>
    <w:bookmarkEnd w:id="58"/>
    <w:bookmarkStart w:name="z70" w:id="59"/>
    <w:p>
      <w:pPr>
        <w:spacing w:after="0"/>
        <w:ind w:left="0"/>
        <w:jc w:val="both"/>
      </w:pPr>
      <w:r>
        <w:rPr>
          <w:rFonts w:ascii="Times New Roman"/>
          <w:b w:val="false"/>
          <w:i w:val="false"/>
          <w:color w:val="000000"/>
          <w:sz w:val="28"/>
        </w:rPr>
        <w:t>
      Привязка имеющейся ПСД конкретной площадке объекта концессии осуществляется в рамках выделенных средств на разработку или корректировку, а также проведение необходимых экспертиз конкурсной документации концессионных проектов, с учетом соответствия законодательству Республики Казахстан об архитектурной, градостроительной и строительной деятельности;</w:t>
      </w:r>
    </w:p>
    <w:bookmarkEnd w:id="59"/>
    <w:bookmarkStart w:name="z71" w:id="60"/>
    <w:p>
      <w:pPr>
        <w:spacing w:after="0"/>
        <w:ind w:left="0"/>
        <w:jc w:val="both"/>
      </w:pPr>
      <w:r>
        <w:rPr>
          <w:rFonts w:ascii="Times New Roman"/>
          <w:b w:val="false"/>
          <w:i w:val="false"/>
          <w:color w:val="000000"/>
          <w:sz w:val="28"/>
        </w:rPr>
        <w:t>
      представление конкурсной документации, ТЭО концессионного проекта, предварительно прошедшего необходимые экспертизы в соответствии с действующим законодательством Республики Казахстан,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подпунктом 3-2) статьи 13 Закона, на проведение соответствующих экспертиз и согласований;</w:t>
      </w:r>
    </w:p>
    <w:bookmarkEnd w:id="60"/>
    <w:bookmarkStart w:name="z72" w:id="61"/>
    <w:p>
      <w:pPr>
        <w:spacing w:after="0"/>
        <w:ind w:left="0"/>
        <w:jc w:val="both"/>
      </w:pPr>
      <w:r>
        <w:rPr>
          <w:rFonts w:ascii="Times New Roman"/>
          <w:b w:val="false"/>
          <w:i w:val="false"/>
          <w:color w:val="000000"/>
          <w:sz w:val="28"/>
        </w:rPr>
        <w:t>
      центральные и местные уполномоченные органы по государственному планированию на основании положительного заключения экспертизы конкурсной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w:t>
      </w:r>
    </w:p>
    <w:bookmarkEnd w:id="61"/>
    <w:bookmarkStart w:name="z73" w:id="62"/>
    <w:p>
      <w:pPr>
        <w:spacing w:after="0"/>
        <w:ind w:left="0"/>
        <w:jc w:val="both"/>
      </w:pPr>
      <w:r>
        <w:rPr>
          <w:rFonts w:ascii="Times New Roman"/>
          <w:b w:val="false"/>
          <w:i w:val="false"/>
          <w:color w:val="000000"/>
          <w:sz w:val="28"/>
        </w:rPr>
        <w:t>
      утверждение конкурсной документации первым руководителем организатора конкурса либо лицом его замещающим на основании решения соответствующих бюджетных комиссий;</w:t>
      </w:r>
    </w:p>
    <w:bookmarkEnd w:id="62"/>
    <w:bookmarkStart w:name="z74" w:id="63"/>
    <w:p>
      <w:pPr>
        <w:spacing w:after="0"/>
        <w:ind w:left="0"/>
        <w:jc w:val="both"/>
      </w:pPr>
      <w:r>
        <w:rPr>
          <w:rFonts w:ascii="Times New Roman"/>
          <w:b w:val="false"/>
          <w:i w:val="false"/>
          <w:color w:val="000000"/>
          <w:sz w:val="28"/>
        </w:rPr>
        <w:t>
      в случаях проведения конкурса по выбору концессионера с использованием двухэтапных процедур:</w:t>
      </w:r>
    </w:p>
    <w:bookmarkEnd w:id="63"/>
    <w:bookmarkStart w:name="z75" w:id="64"/>
    <w:p>
      <w:pPr>
        <w:spacing w:after="0"/>
        <w:ind w:left="0"/>
        <w:jc w:val="both"/>
      </w:pPr>
      <w:r>
        <w:rPr>
          <w:rFonts w:ascii="Times New Roman"/>
          <w:b w:val="false"/>
          <w:i w:val="false"/>
          <w:color w:val="000000"/>
          <w:sz w:val="28"/>
        </w:rPr>
        <w:t>
      формирование организатором конкурса технического задания, разработка и утверждение организатором конкурса конкурсной документации;</w:t>
      </w:r>
    </w:p>
    <w:bookmarkEnd w:id="64"/>
    <w:bookmarkStart w:name="z76" w:id="65"/>
    <w:p>
      <w:pPr>
        <w:spacing w:after="0"/>
        <w:ind w:left="0"/>
        <w:jc w:val="both"/>
      </w:pPr>
      <w:r>
        <w:rPr>
          <w:rFonts w:ascii="Times New Roman"/>
          <w:b w:val="false"/>
          <w:i w:val="false"/>
          <w:color w:val="000000"/>
          <w:sz w:val="28"/>
        </w:rPr>
        <w:t xml:space="preserve">
      представление конкурсной документации с приложением документов, подтверждающих согласование центрального уполномоченного органа по исполнению бюджета, в отношении объектов, относящихся к республиканской собственности, а также, в случае принадлежности концессионного проекта к сферам естественных монополий, уполномоченного государственного органа, осуществляющего руководство в сферах естественных монополий, центральному уполномоченному органу по государственному планированию либо местному уполномоченному органу по государственному планированию в случае, установленном </w:t>
      </w:r>
      <w:r>
        <w:rPr>
          <w:rFonts w:ascii="Times New Roman"/>
          <w:b w:val="false"/>
          <w:i w:val="false"/>
          <w:color w:val="000000"/>
          <w:sz w:val="28"/>
        </w:rPr>
        <w:t>подпунктом 3-2)</w:t>
      </w:r>
      <w:r>
        <w:rPr>
          <w:rFonts w:ascii="Times New Roman"/>
          <w:b w:val="false"/>
          <w:i w:val="false"/>
          <w:color w:val="000000"/>
          <w:sz w:val="28"/>
        </w:rPr>
        <w:t xml:space="preserve"> статьи 13 Закона, на проведение соответствующей экспертизы и согласования;</w:t>
      </w:r>
    </w:p>
    <w:bookmarkEnd w:id="65"/>
    <w:bookmarkStart w:name="z77" w:id="66"/>
    <w:p>
      <w:pPr>
        <w:spacing w:after="0"/>
        <w:ind w:left="0"/>
        <w:jc w:val="both"/>
      </w:pPr>
      <w:r>
        <w:rPr>
          <w:rFonts w:ascii="Times New Roman"/>
          <w:b w:val="false"/>
          <w:i w:val="false"/>
          <w:color w:val="000000"/>
          <w:sz w:val="28"/>
        </w:rPr>
        <w:t>
      центральные и местные уполномоченные органы по государственному планированию на основании положительного заключения экспертизы конкурсной документации, содержащего рекомендации о возможности софинансирования данного проекта из бюджета, формируют заключения по концессионным проектам и вносят на рассмотрение соответствующих бюджетных комиссий;</w:t>
      </w:r>
    </w:p>
    <w:bookmarkEnd w:id="66"/>
    <w:bookmarkStart w:name="z78" w:id="67"/>
    <w:p>
      <w:pPr>
        <w:spacing w:after="0"/>
        <w:ind w:left="0"/>
        <w:jc w:val="both"/>
      </w:pPr>
      <w:r>
        <w:rPr>
          <w:rFonts w:ascii="Times New Roman"/>
          <w:b w:val="false"/>
          <w:i w:val="false"/>
          <w:color w:val="000000"/>
          <w:sz w:val="28"/>
        </w:rPr>
        <w:t>
      утверждение конкурсной документации первым руководителем организатора конкурса либо лицом, его замещающим на основании решения соответствующих бюджетных комиссий;</w:t>
      </w:r>
    </w:p>
    <w:bookmarkEnd w:id="67"/>
    <w:bookmarkStart w:name="z79" w:id="68"/>
    <w:p>
      <w:pPr>
        <w:spacing w:after="0"/>
        <w:ind w:left="0"/>
        <w:jc w:val="both"/>
      </w:pPr>
      <w:r>
        <w:rPr>
          <w:rFonts w:ascii="Times New Roman"/>
          <w:b w:val="false"/>
          <w:i w:val="false"/>
          <w:color w:val="000000"/>
          <w:sz w:val="28"/>
        </w:rPr>
        <w:t>
      5) вынесение соответствующих решений бюджетных комиссий;</w:t>
      </w:r>
    </w:p>
    <w:bookmarkEnd w:id="68"/>
    <w:bookmarkStart w:name="z80" w:id="69"/>
    <w:p>
      <w:pPr>
        <w:spacing w:after="0"/>
        <w:ind w:left="0"/>
        <w:jc w:val="both"/>
      </w:pPr>
      <w:r>
        <w:rPr>
          <w:rFonts w:ascii="Times New Roman"/>
          <w:b w:val="false"/>
          <w:i w:val="false"/>
          <w:color w:val="000000"/>
          <w:sz w:val="28"/>
        </w:rPr>
        <w:t xml:space="preserve">
      6) формирование перечня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и утверждение центральным уполномоченным органом по государственному планированию, если объекты относятся к республиканской собственности, или маслихатами областей, города республиканского значения и столицы, если объекты относятся к коммунальной собственности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 Закона.</w:t>
      </w:r>
    </w:p>
    <w:bookmarkEnd w:id="69"/>
    <w:bookmarkStart w:name="z81" w:id="70"/>
    <w:p>
      <w:pPr>
        <w:spacing w:after="0"/>
        <w:ind w:left="0"/>
        <w:jc w:val="both"/>
      </w:pPr>
      <w:r>
        <w:rPr>
          <w:rFonts w:ascii="Times New Roman"/>
          <w:b w:val="false"/>
          <w:i w:val="false"/>
          <w:color w:val="000000"/>
          <w:sz w:val="28"/>
        </w:rPr>
        <w:t>
      Местные уполномоченные органы по государственному планированию уведомляют центральный уполномоченный орган по государственному планированию о прохождении процедуры, указанной в подпункте</w:t>
      </w:r>
    </w:p>
    <w:bookmarkEnd w:id="70"/>
    <w:bookmarkStart w:name="z82" w:id="71"/>
    <w:p>
      <w:pPr>
        <w:spacing w:after="0"/>
        <w:ind w:left="0"/>
        <w:jc w:val="both"/>
      </w:pPr>
      <w:r>
        <w:rPr>
          <w:rFonts w:ascii="Times New Roman"/>
          <w:b w:val="false"/>
          <w:i w:val="false"/>
          <w:color w:val="000000"/>
          <w:sz w:val="28"/>
        </w:rPr>
        <w:t>
      5) настоящего пункта, в течение 30 (тридцать) рабочих дней со дня вынесения соответствующих решений бюджетных комиссий.";</w:t>
      </w:r>
    </w:p>
    <w:bookmarkEnd w:id="71"/>
    <w:bookmarkStart w:name="z83" w:id="72"/>
    <w:p>
      <w:pPr>
        <w:spacing w:after="0"/>
        <w:ind w:left="0"/>
        <w:jc w:val="both"/>
      </w:pPr>
      <w:r>
        <w:rPr>
          <w:rFonts w:ascii="Times New Roman"/>
          <w:b w:val="false"/>
          <w:i w:val="false"/>
          <w:color w:val="000000"/>
          <w:sz w:val="28"/>
        </w:rPr>
        <w:t>
      дополнить пунктом 7-1 следующего содержания:</w:t>
      </w:r>
    </w:p>
    <w:bookmarkEnd w:id="72"/>
    <w:bookmarkStart w:name="z84" w:id="73"/>
    <w:p>
      <w:pPr>
        <w:spacing w:after="0"/>
        <w:ind w:left="0"/>
        <w:jc w:val="both"/>
      </w:pPr>
      <w:r>
        <w:rPr>
          <w:rFonts w:ascii="Times New Roman"/>
          <w:b w:val="false"/>
          <w:i w:val="false"/>
          <w:color w:val="000000"/>
          <w:sz w:val="28"/>
        </w:rPr>
        <w:t xml:space="preserve">
      "7-1. Решение о реализации концессионного проекта принимается на основании документов Системы государственного планирования, поручений либо актов Президента Республики Казахстан, Правительства Республики Казахстан, а также с учетом приоритетности и срочности концессионного проекта. </w:t>
      </w:r>
    </w:p>
    <w:bookmarkEnd w:id="73"/>
    <w:bookmarkStart w:name="z85" w:id="74"/>
    <w:p>
      <w:pPr>
        <w:spacing w:after="0"/>
        <w:ind w:left="0"/>
        <w:jc w:val="both"/>
      </w:pPr>
      <w:r>
        <w:rPr>
          <w:rFonts w:ascii="Times New Roman"/>
          <w:b w:val="false"/>
          <w:i w:val="false"/>
          <w:color w:val="000000"/>
          <w:sz w:val="28"/>
        </w:rPr>
        <w:t>
      При определении приоритетности, срочности концессионного проекта уполномоченное лицо:</w:t>
      </w:r>
    </w:p>
    <w:bookmarkEnd w:id="74"/>
    <w:bookmarkStart w:name="z86" w:id="75"/>
    <w:p>
      <w:pPr>
        <w:spacing w:after="0"/>
        <w:ind w:left="0"/>
        <w:jc w:val="both"/>
      </w:pPr>
      <w:r>
        <w:rPr>
          <w:rFonts w:ascii="Times New Roman"/>
          <w:b w:val="false"/>
          <w:i w:val="false"/>
          <w:color w:val="000000"/>
          <w:sz w:val="28"/>
        </w:rPr>
        <w:t>
      принимает во внимание рекомендации Межведомственной проектной группы;</w:t>
      </w:r>
    </w:p>
    <w:bookmarkEnd w:id="75"/>
    <w:bookmarkStart w:name="z87" w:id="76"/>
    <w:p>
      <w:pPr>
        <w:spacing w:after="0"/>
        <w:ind w:left="0"/>
        <w:jc w:val="both"/>
      </w:pPr>
      <w:r>
        <w:rPr>
          <w:rFonts w:ascii="Times New Roman"/>
          <w:b w:val="false"/>
          <w:i w:val="false"/>
          <w:color w:val="000000"/>
          <w:sz w:val="28"/>
        </w:rPr>
        <w:t>
      анализирует поступившие инициативы субъектов предпринимательства на соответствие документам Системы государственного планирования, поручениям либо актам Президента Республики Казахстан, Правительства Республики Казахстан (в случае поступления данных инициатив);</w:t>
      </w:r>
    </w:p>
    <w:bookmarkEnd w:id="76"/>
    <w:bookmarkStart w:name="z88" w:id="77"/>
    <w:p>
      <w:pPr>
        <w:spacing w:after="0"/>
        <w:ind w:left="0"/>
        <w:jc w:val="both"/>
      </w:pPr>
      <w:r>
        <w:rPr>
          <w:rFonts w:ascii="Times New Roman"/>
          <w:b w:val="false"/>
          <w:i w:val="false"/>
          <w:color w:val="000000"/>
          <w:sz w:val="28"/>
        </w:rPr>
        <w:t>
      определяет отраслевую приоритетность планируемых к реализации концессионных проектов с учетом инвестиционного потенциала, специфики и проблем развития республики и регионов;</w:t>
      </w:r>
    </w:p>
    <w:bookmarkEnd w:id="77"/>
    <w:bookmarkStart w:name="z89" w:id="78"/>
    <w:p>
      <w:pPr>
        <w:spacing w:after="0"/>
        <w:ind w:left="0"/>
        <w:jc w:val="both"/>
      </w:pPr>
      <w:r>
        <w:rPr>
          <w:rFonts w:ascii="Times New Roman"/>
          <w:b w:val="false"/>
          <w:i w:val="false"/>
          <w:color w:val="000000"/>
          <w:sz w:val="28"/>
        </w:rPr>
        <w:t>
      использует приоритизацию концессионных проектов.</w:t>
      </w:r>
    </w:p>
    <w:bookmarkEnd w:id="78"/>
    <w:bookmarkStart w:name="z90" w:id="79"/>
    <w:p>
      <w:pPr>
        <w:spacing w:after="0"/>
        <w:ind w:left="0"/>
        <w:jc w:val="both"/>
      </w:pPr>
      <w:r>
        <w:rPr>
          <w:rFonts w:ascii="Times New Roman"/>
          <w:b w:val="false"/>
          <w:i w:val="false"/>
          <w:color w:val="000000"/>
          <w:sz w:val="28"/>
        </w:rPr>
        <w:t>
      В рамках приоритизации концессионных проектов рассматривается степень целесообразности реализации концессионного проекта. В первую очередь рассматриваются к реализации проекты, обеспечивающие базовые потребности населения.</w:t>
      </w:r>
    </w:p>
    <w:bookmarkEnd w:id="79"/>
    <w:bookmarkStart w:name="z91" w:id="80"/>
    <w:p>
      <w:pPr>
        <w:spacing w:after="0"/>
        <w:ind w:left="0"/>
        <w:jc w:val="both"/>
      </w:pPr>
      <w:r>
        <w:rPr>
          <w:rFonts w:ascii="Times New Roman"/>
          <w:b w:val="false"/>
          <w:i w:val="false"/>
          <w:color w:val="000000"/>
          <w:sz w:val="28"/>
        </w:rPr>
        <w:t>
      В случае, если приоритетных концессионных проектов несколько, определяется степень срочности реализации таких проектов.</w:t>
      </w:r>
    </w:p>
    <w:bookmarkEnd w:id="80"/>
    <w:bookmarkStart w:name="z92" w:id="81"/>
    <w:p>
      <w:pPr>
        <w:spacing w:after="0"/>
        <w:ind w:left="0"/>
        <w:jc w:val="both"/>
      </w:pPr>
      <w:r>
        <w:rPr>
          <w:rFonts w:ascii="Times New Roman"/>
          <w:b w:val="false"/>
          <w:i w:val="false"/>
          <w:color w:val="000000"/>
          <w:sz w:val="28"/>
        </w:rPr>
        <w:t xml:space="preserve">
      На данном этапе определяются предварительная экономическая и социальная эффективность концессионного проекта. </w:t>
      </w:r>
    </w:p>
    <w:bookmarkEnd w:id="81"/>
    <w:bookmarkStart w:name="z93" w:id="82"/>
    <w:p>
      <w:pPr>
        <w:spacing w:after="0"/>
        <w:ind w:left="0"/>
        <w:jc w:val="both"/>
      </w:pPr>
      <w:r>
        <w:rPr>
          <w:rFonts w:ascii="Times New Roman"/>
          <w:b w:val="false"/>
          <w:i w:val="false"/>
          <w:color w:val="000000"/>
          <w:sz w:val="28"/>
        </w:rPr>
        <w:t>
      Концессионные проекты ориентируются на создание ценности для населения на долгосрочный период, на привлечение инвестиций концессионером, а также на эксплуатацию объекта концессии концессионером на срок не менее 5 (пяти) лет в зависимости от особенностей концессионного проекта.";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95" w:id="83"/>
    <w:p>
      <w:pPr>
        <w:spacing w:after="0"/>
        <w:ind w:left="0"/>
        <w:jc w:val="both"/>
      </w:pPr>
      <w:r>
        <w:rPr>
          <w:rFonts w:ascii="Times New Roman"/>
          <w:b w:val="false"/>
          <w:i w:val="false"/>
          <w:color w:val="000000"/>
          <w:sz w:val="28"/>
        </w:rPr>
        <w:t>
      "18. Организатор конкурса для определения условий и порядка проведения конкурса разрабатывает конкурсную документацию на государственном и русском языках, с учетом требований законодательства Республики Казахстан о государственных секретах, и согласовывает ее с уполномоченными органами по государственному планированию, по исполнению бюджета, в случае принадлежности концессионного проекта к сферам естественных монополий с уполномоченным органом по регулированию и контролю в сферах естественных монополий.</w:t>
      </w:r>
    </w:p>
    <w:bookmarkEnd w:id="83"/>
    <w:bookmarkStart w:name="z96" w:id="84"/>
    <w:p>
      <w:pPr>
        <w:spacing w:after="0"/>
        <w:ind w:left="0"/>
        <w:jc w:val="both"/>
      </w:pPr>
      <w:r>
        <w:rPr>
          <w:rFonts w:ascii="Times New Roman"/>
          <w:b w:val="false"/>
          <w:i w:val="false"/>
          <w:color w:val="000000"/>
          <w:sz w:val="28"/>
        </w:rPr>
        <w:t>
      Уполномоченный государственный орган соответствующей отрасли осуществляет подготовку отраслевого заключения на конкурсную документацию концессионного проекта.</w:t>
      </w:r>
    </w:p>
    <w:bookmarkEnd w:id="84"/>
    <w:bookmarkStart w:name="z97" w:id="85"/>
    <w:p>
      <w:pPr>
        <w:spacing w:after="0"/>
        <w:ind w:left="0"/>
        <w:jc w:val="both"/>
      </w:pPr>
      <w:r>
        <w:rPr>
          <w:rFonts w:ascii="Times New Roman"/>
          <w:b w:val="false"/>
          <w:i w:val="false"/>
          <w:color w:val="000000"/>
          <w:sz w:val="28"/>
        </w:rPr>
        <w:t>
      Отраслевое заключение на конкурсную документацию концессионного проекта включает оценку:</w:t>
      </w:r>
    </w:p>
    <w:bookmarkEnd w:id="85"/>
    <w:bookmarkStart w:name="z98" w:id="86"/>
    <w:p>
      <w:pPr>
        <w:spacing w:after="0"/>
        <w:ind w:left="0"/>
        <w:jc w:val="both"/>
      </w:pPr>
      <w:r>
        <w:rPr>
          <w:rFonts w:ascii="Times New Roman"/>
          <w:b w:val="false"/>
          <w:i w:val="false"/>
          <w:color w:val="000000"/>
          <w:sz w:val="28"/>
        </w:rPr>
        <w:t>
      1) проблем текущего состояния отрасли, которые влияют на ее дальнейшее развитие;</w:t>
      </w:r>
    </w:p>
    <w:bookmarkEnd w:id="86"/>
    <w:bookmarkStart w:name="z99" w:id="87"/>
    <w:p>
      <w:pPr>
        <w:spacing w:after="0"/>
        <w:ind w:left="0"/>
        <w:jc w:val="both"/>
      </w:pPr>
      <w:r>
        <w:rPr>
          <w:rFonts w:ascii="Times New Roman"/>
          <w:b w:val="false"/>
          <w:i w:val="false"/>
          <w:color w:val="000000"/>
          <w:sz w:val="28"/>
        </w:rPr>
        <w:t>
      2) соответствия целей концессионного проекта решению существующих проблем в отрасли;</w:t>
      </w:r>
    </w:p>
    <w:bookmarkEnd w:id="87"/>
    <w:bookmarkStart w:name="z100" w:id="88"/>
    <w:p>
      <w:pPr>
        <w:spacing w:after="0"/>
        <w:ind w:left="0"/>
        <w:jc w:val="both"/>
      </w:pPr>
      <w:r>
        <w:rPr>
          <w:rFonts w:ascii="Times New Roman"/>
          <w:b w:val="false"/>
          <w:i w:val="false"/>
          <w:color w:val="000000"/>
          <w:sz w:val="28"/>
        </w:rPr>
        <w:t>
      3) альтернативных вариантов реализации концессионного проекта исходя из принципа обеспечения сбалансированности интересов концессионера и потребителей товаров (работ, услуг), предоставляемых концессионером;</w:t>
      </w:r>
    </w:p>
    <w:bookmarkEnd w:id="88"/>
    <w:bookmarkStart w:name="z101" w:id="89"/>
    <w:p>
      <w:pPr>
        <w:spacing w:after="0"/>
        <w:ind w:left="0"/>
        <w:jc w:val="both"/>
      </w:pPr>
      <w:r>
        <w:rPr>
          <w:rFonts w:ascii="Times New Roman"/>
          <w:b w:val="false"/>
          <w:i w:val="false"/>
          <w:color w:val="000000"/>
          <w:sz w:val="28"/>
        </w:rPr>
        <w:t>
      4) ситуации в отрасли в случаях реализации концессионного проекта и отсутствия такой реализации;</w:t>
      </w:r>
    </w:p>
    <w:bookmarkEnd w:id="89"/>
    <w:bookmarkStart w:name="z102" w:id="90"/>
    <w:p>
      <w:pPr>
        <w:spacing w:after="0"/>
        <w:ind w:left="0"/>
        <w:jc w:val="both"/>
      </w:pPr>
      <w:r>
        <w:rPr>
          <w:rFonts w:ascii="Times New Roman"/>
          <w:b w:val="false"/>
          <w:i w:val="false"/>
          <w:color w:val="000000"/>
          <w:sz w:val="28"/>
        </w:rPr>
        <w:t>
      5) распределения выгод от реализации концессионного проекта;</w:t>
      </w:r>
    </w:p>
    <w:bookmarkEnd w:id="90"/>
    <w:bookmarkStart w:name="z103" w:id="91"/>
    <w:p>
      <w:pPr>
        <w:spacing w:after="0"/>
        <w:ind w:left="0"/>
        <w:jc w:val="both"/>
      </w:pPr>
      <w:r>
        <w:rPr>
          <w:rFonts w:ascii="Times New Roman"/>
          <w:b w:val="false"/>
          <w:i w:val="false"/>
          <w:color w:val="000000"/>
          <w:sz w:val="28"/>
        </w:rPr>
        <w:t>
      6) предполагаемого мультипликативного эффекта от реализации концессионного проекта на смежные отрасли (сферы) экономики.</w:t>
      </w:r>
    </w:p>
    <w:bookmarkEnd w:id="91"/>
    <w:bookmarkStart w:name="z104" w:id="92"/>
    <w:p>
      <w:pPr>
        <w:spacing w:after="0"/>
        <w:ind w:left="0"/>
        <w:jc w:val="both"/>
      </w:pPr>
      <w:r>
        <w:rPr>
          <w:rFonts w:ascii="Times New Roman"/>
          <w:b w:val="false"/>
          <w:i w:val="false"/>
          <w:color w:val="000000"/>
          <w:sz w:val="28"/>
        </w:rPr>
        <w:t>
      7) оптимальности, достаточности и стоимости компонентов объекта концессии, не охваченных заключением комплексной вневедомственной экспертизы по концессионным проектам, предполагающим строительную деятельность. В случаях отсутствия ТЭО концессионного проекта и заключения комплексной вневедомственной экспертизы на ТЭО концессионного проекта в составе конкурсной документации при проведении конкурса по выбору концессионера с использованием двухэтапных процедур, дополнительно проводится оценка оптимальности, достаточности и стоимости по всем компонентам объекта концессии.</w:t>
      </w:r>
    </w:p>
    <w:bookmarkEnd w:id="92"/>
    <w:bookmarkStart w:name="z105" w:id="93"/>
    <w:p>
      <w:pPr>
        <w:spacing w:after="0"/>
        <w:ind w:left="0"/>
        <w:jc w:val="both"/>
      </w:pPr>
      <w:r>
        <w:rPr>
          <w:rFonts w:ascii="Times New Roman"/>
          <w:b w:val="false"/>
          <w:i w:val="false"/>
          <w:color w:val="000000"/>
          <w:sz w:val="28"/>
        </w:rPr>
        <w:t>
      Подготовка отраслевого заключения на конкурсную документацию концессионного проекта осуществляется в течение 15 (пятнадцать) рабочих дней:</w:t>
      </w:r>
    </w:p>
    <w:bookmarkEnd w:id="93"/>
    <w:bookmarkStart w:name="z106" w:id="94"/>
    <w:p>
      <w:pPr>
        <w:spacing w:after="0"/>
        <w:ind w:left="0"/>
        <w:jc w:val="both"/>
      </w:pPr>
      <w:r>
        <w:rPr>
          <w:rFonts w:ascii="Times New Roman"/>
          <w:b w:val="false"/>
          <w:i w:val="false"/>
          <w:color w:val="000000"/>
          <w:sz w:val="28"/>
        </w:rPr>
        <w:t>
      со дня окончания разработки конкурсной документации концессионного проекта, если проект республиканский;</w:t>
      </w:r>
    </w:p>
    <w:bookmarkEnd w:id="94"/>
    <w:bookmarkStart w:name="z107" w:id="95"/>
    <w:p>
      <w:pPr>
        <w:spacing w:after="0"/>
        <w:ind w:left="0"/>
        <w:jc w:val="both"/>
      </w:pPr>
      <w:r>
        <w:rPr>
          <w:rFonts w:ascii="Times New Roman"/>
          <w:b w:val="false"/>
          <w:i w:val="false"/>
          <w:color w:val="000000"/>
          <w:sz w:val="28"/>
        </w:rPr>
        <w:t>
      со дня внесения конкурсной документации концессионного проекта местным исполнительным органом областей, города республиканского значения, столицы в уполномоченный государственный орган соответствующей отрасли.</w:t>
      </w:r>
    </w:p>
    <w:bookmarkEnd w:id="95"/>
    <w:bookmarkStart w:name="z108" w:id="96"/>
    <w:p>
      <w:pPr>
        <w:spacing w:after="0"/>
        <w:ind w:left="0"/>
        <w:jc w:val="both"/>
      </w:pPr>
      <w:r>
        <w:rPr>
          <w:rFonts w:ascii="Times New Roman"/>
          <w:b w:val="false"/>
          <w:i w:val="false"/>
          <w:color w:val="000000"/>
          <w:sz w:val="28"/>
        </w:rPr>
        <w:t>
      Заключение на конкурсную документацию концессионного проекта подписывается первым руководителем государственного органа соответствующей отрасли, либо лицом его замещающим.</w:t>
      </w:r>
    </w:p>
    <w:bookmarkEnd w:id="96"/>
    <w:bookmarkStart w:name="z109" w:id="97"/>
    <w:p>
      <w:pPr>
        <w:spacing w:after="0"/>
        <w:ind w:left="0"/>
        <w:jc w:val="both"/>
      </w:pPr>
      <w:r>
        <w:rPr>
          <w:rFonts w:ascii="Times New Roman"/>
          <w:b w:val="false"/>
          <w:i w:val="false"/>
          <w:color w:val="000000"/>
          <w:sz w:val="28"/>
        </w:rPr>
        <w:t>
      Содержание и условия конкурсной документации определяются в соответствии со статьей 17 Закона.</w:t>
      </w:r>
    </w:p>
    <w:bookmarkEnd w:id="97"/>
    <w:bookmarkStart w:name="z110" w:id="98"/>
    <w:p>
      <w:pPr>
        <w:spacing w:after="0"/>
        <w:ind w:left="0"/>
        <w:jc w:val="both"/>
      </w:pPr>
      <w:r>
        <w:rPr>
          <w:rFonts w:ascii="Times New Roman"/>
          <w:b w:val="false"/>
          <w:i w:val="false"/>
          <w:color w:val="000000"/>
          <w:sz w:val="28"/>
        </w:rPr>
        <w:t>
      Порядок тарифообразования концессионного проекта, реализуемого в сферах естественных монополий в составе ТЭО, разрабатывается с учетом требований законодательства Республики Казахстан в сферах естественных монополий.";</w:t>
      </w:r>
    </w:p>
    <w:bookmarkEnd w:id="98"/>
    <w:bookmarkStart w:name="z111"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по выбору концессионера, утвержденных указанным приказом:</w:t>
      </w:r>
    </w:p>
    <w:bookmarkEnd w:id="99"/>
    <w:bookmarkStart w:name="z112" w:id="100"/>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100"/>
    <w:bookmarkStart w:name="z113" w:id="101"/>
    <w:p>
      <w:pPr>
        <w:spacing w:after="0"/>
        <w:ind w:left="0"/>
        <w:jc w:val="both"/>
      </w:pPr>
      <w:r>
        <w:rPr>
          <w:rFonts w:ascii="Times New Roman"/>
          <w:b w:val="false"/>
          <w:i w:val="false"/>
          <w:color w:val="000000"/>
          <w:sz w:val="28"/>
        </w:rPr>
        <w:t>
      "3) заполненную в соответствии с конкурсной документацией и подписанную потенциальным концессионером концессионную заявку, которая в том числе должна содержать:</w:t>
      </w:r>
    </w:p>
    <w:bookmarkEnd w:id="101"/>
    <w:bookmarkStart w:name="z114" w:id="102"/>
    <w:p>
      <w:pPr>
        <w:spacing w:after="0"/>
        <w:ind w:left="0"/>
        <w:jc w:val="both"/>
      </w:pPr>
      <w:r>
        <w:rPr>
          <w:rFonts w:ascii="Times New Roman"/>
          <w:b w:val="false"/>
          <w:i w:val="false"/>
          <w:color w:val="000000"/>
          <w:sz w:val="28"/>
        </w:rPr>
        <w:t>
      проект Договора концессии;</w:t>
      </w:r>
    </w:p>
    <w:bookmarkEnd w:id="102"/>
    <w:bookmarkStart w:name="z115" w:id="103"/>
    <w:p>
      <w:pPr>
        <w:spacing w:after="0"/>
        <w:ind w:left="0"/>
        <w:jc w:val="both"/>
      </w:pPr>
      <w:r>
        <w:rPr>
          <w:rFonts w:ascii="Times New Roman"/>
          <w:b w:val="false"/>
          <w:i w:val="false"/>
          <w:color w:val="000000"/>
          <w:sz w:val="28"/>
        </w:rPr>
        <w:t xml:space="preserve">
      ТЭО концессионного проекта с приложением результатов необходимых экспертиз, включая результаты комплексной вневедомственной экспертизы (в случае проведения конкурса по выбору концессионера с использованием двухэтапных процедур), за исключением случаев, указанных во втором абзаце подпункта 2) пункта 10, составленное в соответствии с Требованиями к разработке или корректировке, а также проведению необходимых экспертиз технико-экономического обоснования концессионного проекта, утвержденными настоящим приказом, в том числе содержащие в себе в качестве приложения: </w:t>
      </w:r>
    </w:p>
    <w:bookmarkEnd w:id="103"/>
    <w:bookmarkStart w:name="z116" w:id="104"/>
    <w:p>
      <w:pPr>
        <w:spacing w:after="0"/>
        <w:ind w:left="0"/>
        <w:jc w:val="both"/>
      </w:pPr>
      <w:r>
        <w:rPr>
          <w:rFonts w:ascii="Times New Roman"/>
          <w:b w:val="false"/>
          <w:i w:val="false"/>
          <w:color w:val="000000"/>
          <w:sz w:val="28"/>
        </w:rPr>
        <w:t xml:space="preserve">
      инвестиционную программу (в случае, если предполагаемый объект концессии относится к сфере естественных монополий), разрабатываемую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30 марта 2019 года № 171 "Об утверждении правил формирования тарифов" (зарегистрирован в Реестре государственной регистрации нормативных правовых актов за № 18470), включающую в себя:</w:t>
      </w:r>
    </w:p>
    <w:bookmarkEnd w:id="104"/>
    <w:bookmarkStart w:name="z117" w:id="105"/>
    <w:p>
      <w:pPr>
        <w:spacing w:after="0"/>
        <w:ind w:left="0"/>
        <w:jc w:val="both"/>
      </w:pPr>
      <w:r>
        <w:rPr>
          <w:rFonts w:ascii="Times New Roman"/>
          <w:b w:val="false"/>
          <w:i w:val="false"/>
          <w:color w:val="000000"/>
          <w:sz w:val="28"/>
        </w:rPr>
        <w:t>
      порядок формирования затрат, включаемых в тариф (цену, ставку сбора);</w:t>
      </w:r>
    </w:p>
    <w:bookmarkEnd w:id="105"/>
    <w:bookmarkStart w:name="z118" w:id="106"/>
    <w:p>
      <w:pPr>
        <w:spacing w:after="0"/>
        <w:ind w:left="0"/>
        <w:jc w:val="both"/>
      </w:pPr>
      <w:r>
        <w:rPr>
          <w:rFonts w:ascii="Times New Roman"/>
          <w:b w:val="false"/>
          <w:i w:val="false"/>
          <w:color w:val="000000"/>
          <w:sz w:val="28"/>
        </w:rPr>
        <w:t>
      формирование статей расходов в пределах технических и технологических норм расхода сырья, материалов, топлива, энергии, а также нормативных технических потерь;</w:t>
      </w:r>
    </w:p>
    <w:bookmarkEnd w:id="106"/>
    <w:bookmarkStart w:name="z119" w:id="107"/>
    <w:p>
      <w:pPr>
        <w:spacing w:after="0"/>
        <w:ind w:left="0"/>
        <w:jc w:val="both"/>
      </w:pPr>
      <w:r>
        <w:rPr>
          <w:rFonts w:ascii="Times New Roman"/>
          <w:b w:val="false"/>
          <w:i w:val="false"/>
          <w:color w:val="000000"/>
          <w:sz w:val="28"/>
        </w:rPr>
        <w:t>
      перечень расходов, не учитываемых при формировании тарифа (цены, ставки сбора);</w:t>
      </w:r>
    </w:p>
    <w:bookmarkEnd w:id="107"/>
    <w:bookmarkStart w:name="z120" w:id="108"/>
    <w:p>
      <w:pPr>
        <w:spacing w:after="0"/>
        <w:ind w:left="0"/>
        <w:jc w:val="both"/>
      </w:pPr>
      <w:r>
        <w:rPr>
          <w:rFonts w:ascii="Times New Roman"/>
          <w:b w:val="false"/>
          <w:i w:val="false"/>
          <w:color w:val="000000"/>
          <w:sz w:val="28"/>
        </w:rPr>
        <w:t>
      объем инвестиций и порядок возврата инвестированного капитала;</w:t>
      </w:r>
    </w:p>
    <w:bookmarkEnd w:id="108"/>
    <w:bookmarkStart w:name="z121" w:id="109"/>
    <w:p>
      <w:pPr>
        <w:spacing w:after="0"/>
        <w:ind w:left="0"/>
        <w:jc w:val="both"/>
      </w:pPr>
      <w:r>
        <w:rPr>
          <w:rFonts w:ascii="Times New Roman"/>
          <w:b w:val="false"/>
          <w:i w:val="false"/>
          <w:color w:val="000000"/>
          <w:sz w:val="28"/>
        </w:rPr>
        <w:t>
      формирование прибыли;</w:t>
      </w:r>
    </w:p>
    <w:bookmarkEnd w:id="109"/>
    <w:bookmarkStart w:name="z122" w:id="110"/>
    <w:p>
      <w:pPr>
        <w:spacing w:after="0"/>
        <w:ind w:left="0"/>
        <w:jc w:val="both"/>
      </w:pPr>
      <w:r>
        <w:rPr>
          <w:rFonts w:ascii="Times New Roman"/>
          <w:b w:val="false"/>
          <w:i w:val="false"/>
          <w:color w:val="000000"/>
          <w:sz w:val="28"/>
        </w:rPr>
        <w:t>
      описание методов начисления износа основных средств по каждому виду;</w:t>
      </w:r>
    </w:p>
    <w:bookmarkEnd w:id="110"/>
    <w:bookmarkStart w:name="z123" w:id="111"/>
    <w:p>
      <w:pPr>
        <w:spacing w:after="0"/>
        <w:ind w:left="0"/>
        <w:jc w:val="both"/>
      </w:pPr>
      <w:r>
        <w:rPr>
          <w:rFonts w:ascii="Times New Roman"/>
          <w:b w:val="false"/>
          <w:i w:val="false"/>
          <w:color w:val="000000"/>
          <w:sz w:val="28"/>
        </w:rPr>
        <w:t>
      проведение переоценки основных средств и направлений использования средств амортизационных отчислений, предусматриваемых тарифной сметой;</w:t>
      </w:r>
    </w:p>
    <w:bookmarkEnd w:id="111"/>
    <w:bookmarkStart w:name="z124" w:id="112"/>
    <w:p>
      <w:pPr>
        <w:spacing w:after="0"/>
        <w:ind w:left="0"/>
        <w:jc w:val="both"/>
      </w:pPr>
      <w:r>
        <w:rPr>
          <w:rFonts w:ascii="Times New Roman"/>
          <w:b w:val="false"/>
          <w:i w:val="false"/>
          <w:color w:val="000000"/>
          <w:sz w:val="28"/>
        </w:rPr>
        <w:t>
      сроки (периоды) и источники финансирования проведения капитального ремонта или модернизации объектов.</w:t>
      </w:r>
    </w:p>
    <w:bookmarkEnd w:id="112"/>
    <w:bookmarkStart w:name="z125" w:id="113"/>
    <w:p>
      <w:pPr>
        <w:spacing w:after="0"/>
        <w:ind w:left="0"/>
        <w:jc w:val="both"/>
      </w:pPr>
      <w:r>
        <w:rPr>
          <w:rFonts w:ascii="Times New Roman"/>
          <w:b w:val="false"/>
          <w:i w:val="false"/>
          <w:color w:val="000000"/>
          <w:sz w:val="28"/>
        </w:rPr>
        <w:t>
      В случае принятия потенциальным концессионером маркетингового и (или) институционального и (или) социально-экономических решений, приведенных в конкурсной документации организатора конкурса, то данные решения соответствующего раздела используются при разработке ТЭО в составе концессионной заявки (в случае проведения конкурса по выбору концессионера с использованием двухэтапных процедур);";</w:t>
      </w:r>
    </w:p>
    <w:bookmarkEnd w:id="113"/>
    <w:bookmarkStart w:name="z126" w:id="114"/>
    <w:p>
      <w:pPr>
        <w:spacing w:after="0"/>
        <w:ind w:left="0"/>
        <w:jc w:val="both"/>
      </w:pPr>
      <w:r>
        <w:rPr>
          <w:rFonts w:ascii="Times New Roman"/>
          <w:b w:val="false"/>
          <w:i w:val="false"/>
          <w:color w:val="000000"/>
          <w:sz w:val="28"/>
        </w:rPr>
        <w:t>
      пункт 63 изложить в следующей редакции:</w:t>
      </w:r>
    </w:p>
    <w:bookmarkEnd w:id="114"/>
    <w:bookmarkStart w:name="z127" w:id="115"/>
    <w:p>
      <w:pPr>
        <w:spacing w:after="0"/>
        <w:ind w:left="0"/>
        <w:jc w:val="both"/>
      </w:pPr>
      <w:r>
        <w:rPr>
          <w:rFonts w:ascii="Times New Roman"/>
          <w:b w:val="false"/>
          <w:i w:val="false"/>
          <w:color w:val="000000"/>
          <w:sz w:val="28"/>
        </w:rPr>
        <w:t>
      "63. Заключение прямого соглашения между концедентом, концессионером и кредиторами концессионера для реализации концессионных проектов предусматривает следующие последовательные стадии:</w:t>
      </w:r>
    </w:p>
    <w:bookmarkEnd w:id="115"/>
    <w:bookmarkStart w:name="z128" w:id="116"/>
    <w:p>
      <w:pPr>
        <w:spacing w:after="0"/>
        <w:ind w:left="0"/>
        <w:jc w:val="both"/>
      </w:pPr>
      <w:r>
        <w:rPr>
          <w:rFonts w:ascii="Times New Roman"/>
          <w:b w:val="false"/>
          <w:i w:val="false"/>
          <w:color w:val="000000"/>
          <w:sz w:val="28"/>
        </w:rPr>
        <w:t xml:space="preserve">
      концессионер и (или) кредитор концессионера вносит концеденту проект прямого соглашения в соответствии со </w:t>
      </w:r>
      <w:r>
        <w:rPr>
          <w:rFonts w:ascii="Times New Roman"/>
          <w:b w:val="false"/>
          <w:i w:val="false"/>
          <w:color w:val="000000"/>
          <w:sz w:val="28"/>
        </w:rPr>
        <w:t>статьей 26-2</w:t>
      </w:r>
      <w:r>
        <w:rPr>
          <w:rFonts w:ascii="Times New Roman"/>
          <w:b w:val="false"/>
          <w:i w:val="false"/>
          <w:color w:val="000000"/>
          <w:sz w:val="28"/>
        </w:rPr>
        <w:t xml:space="preserve"> Закона;</w:t>
      </w:r>
    </w:p>
    <w:bookmarkEnd w:id="116"/>
    <w:bookmarkStart w:name="z129" w:id="117"/>
    <w:p>
      <w:pPr>
        <w:spacing w:after="0"/>
        <w:ind w:left="0"/>
        <w:jc w:val="both"/>
      </w:pPr>
      <w:r>
        <w:rPr>
          <w:rFonts w:ascii="Times New Roman"/>
          <w:b w:val="false"/>
          <w:i w:val="false"/>
          <w:color w:val="000000"/>
          <w:sz w:val="28"/>
        </w:rPr>
        <w:t xml:space="preserve">
      концедент рассматривает и выносит проект прямого соглашения на заседание Комиссии, создаваемой распоряжением Премьер-Министра по концессионным проектам особой значимости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19 Закона.</w:t>
      </w:r>
    </w:p>
    <w:bookmarkEnd w:id="117"/>
    <w:bookmarkStart w:name="z130" w:id="118"/>
    <w:p>
      <w:pPr>
        <w:spacing w:after="0"/>
        <w:ind w:left="0"/>
        <w:jc w:val="both"/>
      </w:pPr>
      <w:r>
        <w:rPr>
          <w:rFonts w:ascii="Times New Roman"/>
          <w:b w:val="false"/>
          <w:i w:val="false"/>
          <w:color w:val="000000"/>
          <w:sz w:val="28"/>
        </w:rPr>
        <w:t xml:space="preserve">
      Комиссия рассматривает проект прямого соглашения и при необходимости привлекает экспертов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о порядке создания, деятельности и ликвидации консультативно-совещательных органов при Правительстве Республики Казахстан и рабочих групп, утвержденной постановление Правительства Республики Казахстан от 16 марта 1999 года № 247;</w:t>
      </w:r>
    </w:p>
    <w:bookmarkEnd w:id="118"/>
    <w:bookmarkStart w:name="z131" w:id="119"/>
    <w:p>
      <w:pPr>
        <w:spacing w:after="0"/>
        <w:ind w:left="0"/>
        <w:jc w:val="both"/>
      </w:pPr>
      <w:r>
        <w:rPr>
          <w:rFonts w:ascii="Times New Roman"/>
          <w:b w:val="false"/>
          <w:i w:val="false"/>
          <w:color w:val="000000"/>
          <w:sz w:val="28"/>
        </w:rPr>
        <w:t>
      Комиссия одобряет окончательный проект прямого соглашения по итогам переговоров сторон прямого соглашения;</w:t>
      </w:r>
    </w:p>
    <w:bookmarkEnd w:id="119"/>
    <w:bookmarkStart w:name="z132" w:id="120"/>
    <w:p>
      <w:pPr>
        <w:spacing w:after="0"/>
        <w:ind w:left="0"/>
        <w:jc w:val="both"/>
      </w:pPr>
      <w:r>
        <w:rPr>
          <w:rFonts w:ascii="Times New Roman"/>
          <w:b w:val="false"/>
          <w:i w:val="false"/>
          <w:color w:val="000000"/>
          <w:sz w:val="28"/>
        </w:rPr>
        <w:t>
      в случае наличия в прямом соглашении положений, влекущих расходы государственного бюджета, данный вопрос выносится на рассмотрение Республиканской бюджетной комиссии;</w:t>
      </w:r>
    </w:p>
    <w:bookmarkEnd w:id="120"/>
    <w:bookmarkStart w:name="z133" w:id="121"/>
    <w:p>
      <w:pPr>
        <w:spacing w:after="0"/>
        <w:ind w:left="0"/>
        <w:jc w:val="both"/>
      </w:pPr>
      <w:r>
        <w:rPr>
          <w:rFonts w:ascii="Times New Roman"/>
          <w:b w:val="false"/>
          <w:i w:val="false"/>
          <w:color w:val="000000"/>
          <w:sz w:val="28"/>
        </w:rPr>
        <w:t>
      заключение прямого соглашения на основании решений Комиссии по концессиям и Республиканской бюджетной комиссии".</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1</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Правилам </w:t>
            </w:r>
            <w:r>
              <w:br/>
            </w:r>
            <w:r>
              <w:rPr>
                <w:rFonts w:ascii="Times New Roman"/>
                <w:b w:val="false"/>
                <w:i w:val="false"/>
                <w:color w:val="000000"/>
                <w:sz w:val="20"/>
              </w:rPr>
              <w:t xml:space="preserve">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 xml:space="preserve">и оценки реализации бюджетных инвестиций </w:t>
            </w:r>
            <w:r>
              <w:br/>
            </w:r>
            <w:r>
              <w:rPr>
                <w:rFonts w:ascii="Times New Roman"/>
                <w:b w:val="false"/>
                <w:i w:val="false"/>
                <w:color w:val="000000"/>
                <w:sz w:val="20"/>
              </w:rPr>
              <w:t xml:space="preserve">и определения целесообразности </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4" w:id="122"/>
    <w:p>
      <w:pPr>
        <w:spacing w:after="0"/>
        <w:ind w:left="0"/>
        <w:jc w:val="left"/>
      </w:pPr>
      <w:r>
        <w:rPr>
          <w:rFonts w:ascii="Times New Roman"/>
          <w:b/>
          <w:i w:val="false"/>
          <w:color w:val="000000"/>
        </w:rPr>
        <w:t xml:space="preserve"> Структура рекомендации на инвестиционное предложение администратора бюджетных программ (АБП) о реализации государственного инвестиционного проекта (ГИП) путем реализации проекта государственно - частного партнерства (ГЧП)</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АБП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наименование уполномоченного лица (государственного партнера, администратора бюджетной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краткое описание проекта, проблемы, которые решает реализация предлагаемого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цель проекта, количественные и качественные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конечный результат от реализации проекта, количественные и качественные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прямой результат от реализации проекта, количественные и качественные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проекта: расходы и доходы, генерируемые проектов в течение срока договора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стоимость (создания, строительства, реконструкции и пр.)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срок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возмещения затрат и получения доходов, меры государственной поддержки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суммы, виды и сроки запрашиваемых выплат из бюджета, платных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институциональная схема управления проектом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схема взаимодействия участников проекта; распределения выгод и затрат балансодержателей; схемы управления в инвестиционном и постинвестиционном периодах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социально-экономические эффекты (поступления в бюджет в разбивке по видам, создаваемые рабочие места и прочее), их стоимость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представленных документов требованиям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перечень документов, несоответствующих требованиям настоящих Правил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задачам, принципам и признакам ГЧП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соответствие проекта задачам, принципам и признакам ГЧП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на основе представленной информации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Правилам </w:t>
            </w:r>
            <w:r>
              <w:br/>
            </w:r>
            <w:r>
              <w:rPr>
                <w:rFonts w:ascii="Times New Roman"/>
                <w:b w:val="false"/>
                <w:i w:val="false"/>
                <w:color w:val="000000"/>
                <w:sz w:val="20"/>
              </w:rPr>
              <w:t xml:space="preserve">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 xml:space="preserve">и оценки реализации бюджетных инвестиций </w:t>
            </w:r>
            <w:r>
              <w:br/>
            </w:r>
            <w:r>
              <w:rPr>
                <w:rFonts w:ascii="Times New Roman"/>
                <w:b w:val="false"/>
                <w:i w:val="false"/>
                <w:color w:val="000000"/>
                <w:sz w:val="20"/>
              </w:rPr>
              <w:t xml:space="preserve">и определения целесообразности </w:t>
            </w:r>
            <w:r>
              <w:br/>
            </w:r>
            <w:r>
              <w:rPr>
                <w:rFonts w:ascii="Times New Roman"/>
                <w:b w:val="false"/>
                <w:i w:val="false"/>
                <w:color w:val="000000"/>
                <w:sz w:val="20"/>
              </w:rPr>
              <w:t>бюджетного кредитования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23"/>
    <w:p>
      <w:pPr>
        <w:spacing w:after="0"/>
        <w:ind w:left="0"/>
        <w:jc w:val="both"/>
      </w:pPr>
      <w:r>
        <w:rPr>
          <w:rFonts w:ascii="Times New Roman"/>
          <w:b w:val="false"/>
          <w:i w:val="false"/>
          <w:color w:val="ff0000"/>
          <w:sz w:val="28"/>
        </w:rPr>
        <w:t xml:space="preserve">
      Сноска. Приложение 2 утратило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3</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 xml:space="preserve">и оценки реализации бюджетных инвестиций </w:t>
            </w:r>
            <w:r>
              <w:br/>
            </w:r>
            <w:r>
              <w:rPr>
                <w:rFonts w:ascii="Times New Roman"/>
                <w:b w:val="false"/>
                <w:i w:val="false"/>
                <w:color w:val="000000"/>
                <w:sz w:val="20"/>
              </w:rPr>
              <w:t xml:space="preserve">и определения целесообразности </w:t>
            </w:r>
            <w:r>
              <w:br/>
            </w:r>
            <w:r>
              <w:rPr>
                <w:rFonts w:ascii="Times New Roman"/>
                <w:b w:val="false"/>
                <w:i w:val="false"/>
                <w:color w:val="000000"/>
                <w:sz w:val="20"/>
              </w:rPr>
              <w:t>бюджетного кредитования</w:t>
            </w:r>
          </w:p>
        </w:tc>
      </w:tr>
    </w:tbl>
    <w:bookmarkStart w:name="z358" w:id="124"/>
    <w:p>
      <w:pPr>
        <w:spacing w:after="0"/>
        <w:ind w:left="0"/>
        <w:jc w:val="both"/>
      </w:pPr>
      <w:r>
        <w:rPr>
          <w:rFonts w:ascii="Times New Roman"/>
          <w:b w:val="false"/>
          <w:i w:val="false"/>
          <w:color w:val="ff0000"/>
          <w:sz w:val="28"/>
        </w:rPr>
        <w:t xml:space="preserve">
      Сноска. Приложение 3 утратило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4</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2021 года № 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планирования и реализации </w:t>
            </w:r>
            <w:r>
              <w:br/>
            </w:r>
            <w:r>
              <w:rPr>
                <w:rFonts w:ascii="Times New Roman"/>
                <w:b w:val="false"/>
                <w:i w:val="false"/>
                <w:color w:val="000000"/>
                <w:sz w:val="20"/>
              </w:rPr>
              <w:t>проектов государственно-частного партнерства,</w:t>
            </w:r>
            <w:r>
              <w:br/>
            </w:r>
            <w:r>
              <w:rPr>
                <w:rFonts w:ascii="Times New Roman"/>
                <w:b w:val="false"/>
                <w:i w:val="false"/>
                <w:color w:val="000000"/>
                <w:sz w:val="20"/>
              </w:rPr>
              <w:t>включающие вопросы планирования</w:t>
            </w:r>
            <w:r>
              <w:br/>
            </w:r>
            <w:r>
              <w:rPr>
                <w:rFonts w:ascii="Times New Roman"/>
                <w:b w:val="false"/>
                <w:i w:val="false"/>
                <w:color w:val="000000"/>
                <w:sz w:val="20"/>
              </w:rPr>
              <w:t>проектов государственно-частного</w:t>
            </w:r>
            <w:r>
              <w:br/>
            </w:r>
            <w:r>
              <w:rPr>
                <w:rFonts w:ascii="Times New Roman"/>
                <w:b w:val="false"/>
                <w:i w:val="false"/>
                <w:color w:val="000000"/>
                <w:sz w:val="20"/>
              </w:rPr>
              <w:t>партнерства, проведения конкурса</w:t>
            </w:r>
            <w:r>
              <w:br/>
            </w:r>
            <w:r>
              <w:rPr>
                <w:rFonts w:ascii="Times New Roman"/>
                <w:b w:val="false"/>
                <w:i w:val="false"/>
                <w:color w:val="000000"/>
                <w:sz w:val="20"/>
              </w:rPr>
              <w:t>и прямых переговоров по определению</w:t>
            </w:r>
            <w:r>
              <w:br/>
            </w:r>
            <w:r>
              <w:rPr>
                <w:rFonts w:ascii="Times New Roman"/>
                <w:b w:val="false"/>
                <w:i w:val="false"/>
                <w:color w:val="000000"/>
                <w:sz w:val="20"/>
              </w:rPr>
              <w:t>частного партнера, проведения</w:t>
            </w:r>
            <w:r>
              <w:br/>
            </w:r>
            <w:r>
              <w:rPr>
                <w:rFonts w:ascii="Times New Roman"/>
                <w:b w:val="false"/>
                <w:i w:val="false"/>
                <w:color w:val="000000"/>
                <w:sz w:val="20"/>
              </w:rPr>
              <w:t xml:space="preserve">мониторинга договоров государственно-частного </w:t>
            </w:r>
            <w:r>
              <w:br/>
            </w:r>
            <w:r>
              <w:rPr>
                <w:rFonts w:ascii="Times New Roman"/>
                <w:b w:val="false"/>
                <w:i w:val="false"/>
                <w:color w:val="000000"/>
                <w:sz w:val="20"/>
              </w:rPr>
              <w:t>партнерства, проведения мониторинга и оценки</w:t>
            </w:r>
            <w:r>
              <w:br/>
            </w:r>
            <w:r>
              <w:rPr>
                <w:rFonts w:ascii="Times New Roman"/>
                <w:b w:val="false"/>
                <w:i w:val="false"/>
                <w:color w:val="000000"/>
                <w:sz w:val="20"/>
              </w:rPr>
              <w:t>реализации проектов</w:t>
            </w:r>
            <w:r>
              <w:br/>
            </w:r>
            <w:r>
              <w:rPr>
                <w:rFonts w:ascii="Times New Roman"/>
                <w:b w:val="false"/>
                <w:i w:val="false"/>
                <w:color w:val="000000"/>
                <w:sz w:val="20"/>
              </w:rPr>
              <w:t>государственно-частного партнерства</w:t>
            </w:r>
          </w:p>
        </w:tc>
      </w:tr>
    </w:tbl>
    <w:bookmarkStart w:name="z381" w:id="125"/>
    <w:p>
      <w:pPr>
        <w:spacing w:after="0"/>
        <w:ind w:left="0"/>
        <w:jc w:val="both"/>
      </w:pPr>
      <w:r>
        <w:rPr>
          <w:rFonts w:ascii="Times New Roman"/>
          <w:b w:val="false"/>
          <w:i w:val="false"/>
          <w:color w:val="ff0000"/>
          <w:sz w:val="28"/>
        </w:rPr>
        <w:t xml:space="preserve">
      Сноска. Приложение 4 утратило силу приказом Заместителя Премьер-Министра - Министра национальной экономики РК от 16.06.2025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