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100a9" w14:textId="7d100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нормативные правовые акты Республики Казахстан по вопросам регулирования финансового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16 апреля 2021 года № 56. Зарегистрировано в Министерстве юстиции Республики Казахстан 27 апреля 2021 года № 22620.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17-1, </w:t>
      </w:r>
      <w:r>
        <w:rPr>
          <w:rFonts w:ascii="Times New Roman"/>
          <w:b w:val="false"/>
          <w:i w:val="false"/>
          <w:color w:val="000000"/>
          <w:sz w:val="28"/>
        </w:rPr>
        <w:t>пунктами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45 Закона Республики Казахстан от 31 августа 1995 года "О банках и банковской деятельности в Республике Казахстан", подпунктом 3) пункта 1 статьи 5-3 Закона Республики Казахстан от 23 декабря 1995 года "Об ипотеке недвижимого имущества",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от 18 декабря 2000 года "О страховой деятельности",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72-1 Закона Республики Казахстан от 2 июля 2003 года "О рынке ценных бумаг",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9, подпунктом 1)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и подпунктами 9-1) и 9-3)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4 июля 2003 года "О государственном регулировании, контроле и надзоре финансового рынка и финансовых организаций", подпунктом 2) пункта 3 статьи 16 Закона Республики Казахстан от 19 марта 2010 года "О государственной статистике", подпунктом 4-2)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26 ноября 2012 года "О микрофинансовой деятельности",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от 16 мая 2014 года "О разрешениях и уведомлениях" Правление Агентства Республики Казахстан по регулированию и развитию финансового рынка ПОСТАНОВЛЯЕТ: 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регулирования финансового рынка, в которые вносятся изменения, согласно приложению к настоящему постановлению (далее – Перечень).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опубликования, за исключением пункта 1 Перечня, который вводится в действие по истечении двадцати одного календарного дня после дня первого официального опубликования настоящего постановления.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Республики Казахстан 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регулированию  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развитию 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М. Абылкасымова 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цифрового развития, инноваций 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аэрокосмической промышленности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Правления Агентства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апреля 2021 года № 56</w:t>
            </w:r>
          </w:p>
        </w:tc>
      </w:tr>
    </w:tbl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нормативных правовых актов Республики Казахстан по вопросам регулирования финансового рынка, в которые вносятся изменения</w:t>
      </w:r>
    </w:p>
    <w:bookmarkEnd w:id="9"/>
    <w:p>
      <w:pPr>
        <w:spacing w:after="0"/>
        <w:ind w:left="0"/>
        <w:jc w:val="both"/>
      </w:pPr>
      <w:bookmarkStart w:name="z19" w:id="10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декабря 2016 года № 308 "Об установлении пруденциальных нормативов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лимитов, а также перечня, форм и правил представления отчетности об их выполнении" (зарегистрировано в Реестре государственной регистрации нормативных правовых актов под № 14788, опубликовано 28 февраля 2017 года в Эталонном контрольном банке нормативных правовых актов Республики Казахстан) следующее изменение:</w:t>
      </w:r>
    </w:p>
    <w:bookmarkEnd w:id="11"/>
    <w:bookmarkStart w:name="z4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Пруденциальных нормативах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лимитов, утвержденных указанным постановлением: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"32. Размер риска на одного заемщика рассчитывается как сумма:</w:t>
      </w:r>
    </w:p>
    <w:bookmarkEnd w:id="13"/>
    <w:bookmarkStart w:name="z4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требований Организации к заемщику в виде займов, вкладов, дебиторской задолженности, ценных бумаг;</w:t>
      </w:r>
    </w:p>
    <w:bookmarkEnd w:id="14"/>
    <w:bookmarkStart w:name="z4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требований Организации к заемщику, списанных с баланса Организации;</w:t>
      </w:r>
    </w:p>
    <w:bookmarkEnd w:id="15"/>
    <w:bookmarkStart w:name="z4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требований в виде секьюритизированных активов, относящихся к заемщикам, по которым у Организации отсутствует письменное подтверждение уполномоченного органа на применение рамочного подхода секьюритизации;</w:t>
      </w:r>
    </w:p>
    <w:bookmarkEnd w:id="16"/>
    <w:bookmarkStart w:name="z4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требований в виде позиций секьюритизации;</w:t>
      </w:r>
    </w:p>
    <w:bookmarkEnd w:id="17"/>
    <w:bookmarkStart w:name="z4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требований Организации к заемщику в виде условных и возможных обязательств, рассчитанных в соответствии с Таблицей 2;</w:t>
      </w:r>
    </w:p>
    <w:bookmarkEnd w:id="18"/>
    <w:bookmarkStart w:name="z4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требований, по которым Организация приняла на себя обязательство за заемщика в пользу третьих лиц или перед заемщиком, а также по иным основаниям, предусмотренным законодательными актами Республики Казахстан или заключенными договорами;</w:t>
      </w:r>
    </w:p>
    <w:bookmarkEnd w:id="19"/>
    <w:bookmarkStart w:name="z4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минусом суммы сформированных в соответствии с международными стандартами финансовой отчетности резервов, денег дольщиков, привлеченных уполномоченной компанией при осуществлении деятельности по организации долевого участия в жилищном строительстве способом получения гарантии Единого оператора жилищного строительства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апреля 2016 года "О долевом участии в жилищном строительстве", а также суммы обеспечения по обязательствам заемщика в виде:</w:t>
      </w:r>
    </w:p>
    <w:bookmarkEnd w:id="20"/>
    <w:bookmarkStart w:name="z5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вкладов, предоставленных в распоряжение Организации в качестве обеспечения данного обязательства;</w:t>
      </w:r>
    </w:p>
    <w:bookmarkEnd w:id="21"/>
    <w:bookmarkStart w:name="z5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ценных бумаг Республики Казахстан, выпущенных Правительством Республики Казахстан и Национальным Банком Республики Казахстан;</w:t>
      </w:r>
    </w:p>
    <w:bookmarkEnd w:id="22"/>
    <w:bookmarkStart w:name="z5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аффинированных драгоценных металлов;</w:t>
      </w:r>
    </w:p>
    <w:bookmarkEnd w:id="23"/>
    <w:bookmarkStart w:name="z5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гарантий Правительства Республики Казахстан;</w:t>
      </w:r>
    </w:p>
    <w:bookmarkEnd w:id="24"/>
    <w:bookmarkStart w:name="z5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гарантий банков, имеющих долгосрочный долговой рейтинг не ниже "А" агентства Standard &amp; Poor's или рейтинг аналогичного уровня одного из других рейтинговых агентств.</w:t>
      </w:r>
    </w:p>
    <w:bookmarkEnd w:id="25"/>
    <w:bookmarkStart w:name="z5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расчет риска на одного заемщика не включаются требования к Правительству Республики Казахстан, Национальному Банку Республики Казахстан, требования по открытым корреспондентским счетам к банкам, имеющим долгосрочный рейтинг не ниже "ВВВ" агентства Standard &amp; Poor's или рейтинг аналогичного уровня одного из других рейтинговых агентств, а также требования по государственным ценным бумагам, выпускаемым местными исполнительными органами для обращения на внутреннем рынке для финансирования строительства жилья в рамках реализации государственных и правительственных программ, приобретаемым Единым оператором жилищного строительства со дня его образования.".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декабря 2018 года № 317 "Об установлении факторов, влияющих на ухудшение финансового положения банка и банковского конгломерата, а также утверждении Правил одобрения плана мероприятий, предусматривающего меры раннего реагирования, и Методики определения факторов, влияющих на ухудшение финансового положения банка (банковского конгломерата)" (зарегистрировано в Реестре государственной регистрации нормативных правовых актов под № 18186, опубликовано 24 января 2019 года в Эталонном контрольном банке нормативных правовых актов Республики Казахстан) следующее изменение:</w:t>
      </w:r>
    </w:p>
    <w:bookmarkEnd w:id="27"/>
    <w:bookmarkStart w:name="z6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одобрения плана мероприятий, предусматривающего меры раннего реагирования, утвержденных указанным постановлением: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Меры по улучшению фактора, предусмотренные планом мероприятий, направлены:</w:t>
      </w:r>
    </w:p>
    <w:bookmarkEnd w:id="29"/>
    <w:bookmarkStart w:name="z6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фактору, предусмотренному в подпункте 1) части первой пункта 1 настоящего постановления:</w:t>
      </w:r>
    </w:p>
    <w:bookmarkEnd w:id="30"/>
    <w:bookmarkStart w:name="z6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доведение коэффициентов ликвидности до уровня:</w:t>
      </w:r>
    </w:p>
    <w:bookmarkEnd w:id="31"/>
    <w:bookmarkStart w:name="z7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коэффициента текущей ликвидности k4 - не менее 0,4;</w:t>
      </w:r>
    </w:p>
    <w:bookmarkEnd w:id="32"/>
    <w:bookmarkStart w:name="z7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коэффициента срочной ликвидности k4-1 - не менее 1,1;</w:t>
      </w:r>
    </w:p>
    <w:bookmarkEnd w:id="33"/>
    <w:bookmarkStart w:name="z7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коэффициента срочной ликвидности k4-2 - не менее 1;</w:t>
      </w:r>
    </w:p>
    <w:bookmarkEnd w:id="34"/>
    <w:bookmarkStart w:name="z7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коэффициента срочной ликвидности k4-3 - не менее 0,9;</w:t>
      </w:r>
    </w:p>
    <w:bookmarkEnd w:id="35"/>
    <w:bookmarkStart w:name="z7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коэффициента срочной валютной ликвидности k4-4 - не менее 1,1;</w:t>
      </w:r>
    </w:p>
    <w:bookmarkEnd w:id="36"/>
    <w:bookmarkStart w:name="z7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коэффициента срочной валютной ликвидности k4-5 - не менее 1;</w:t>
      </w:r>
    </w:p>
    <w:bookmarkEnd w:id="37"/>
    <w:bookmarkStart w:name="z7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коэффициента срочной валютной ликвидности k4-6 - не менее 0,9;</w:t>
      </w:r>
    </w:p>
    <w:bookmarkEnd w:id="38"/>
    <w:bookmarkStart w:name="z7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фактору, предусмотренному в подпункте 3) части первой пункта 1 настоящего постановления, - на доведение доли чистых классифицированных займов в собственном капитале до уровня, не превышающего 80 (восьмидесяти) процентов;</w:t>
      </w:r>
    </w:p>
    <w:bookmarkEnd w:id="39"/>
    <w:bookmarkStart w:name="z7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факторам, предусмотренным в подпунктах 2) и 4) части первой пункта 1 настоящего постановления, при отсутствии фактора, предусмотренного подпунктом 5) части первой пункта 1 настоящего постановления, - на доведение доли неработающих займов в ссудном портфеле банка до уровня, не превышающего 10 (десяти) процентов ссудного портфеля банка;</w:t>
      </w:r>
    </w:p>
    <w:bookmarkEnd w:id="40"/>
    <w:bookmarkStart w:name="z7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фактору, предусмотренному в подпункте 5) части первой пункта 1 настоящего постановления, - на снижение отношения займов с просроченной задолженностью по основному долгу и (или) начисленному вознаграждению свыше 90 (девяноста) календарных дней к общему объему ссудного портфеля банка до уровня менее 10 (десяти) процентов от ссудного портфеля;</w:t>
      </w:r>
    </w:p>
    <w:bookmarkEnd w:id="41"/>
    <w:bookmarkStart w:name="z8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фактору, предусмотренному в подпункте 6) части первой пункта 1 настоящего постановления, - на доведение доли классифицированной дебиторской задолженности в совокупной дебиторской задолженности до уровня, не превышающего 50 (пятидесяти) процентов;</w:t>
      </w:r>
    </w:p>
    <w:bookmarkEnd w:id="42"/>
    <w:bookmarkStart w:name="z8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фактору, предусмотренному в подпункте 7) части первой пункта 1 настоящего постановления, - на доведение коэффициента рентабельности активов до уровня не менее 0,2 (ноль целых двух десятых) процента;</w:t>
      </w:r>
    </w:p>
    <w:bookmarkEnd w:id="43"/>
    <w:bookmarkStart w:name="z8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фактору, предусмотренному в подпункте 8) части первой пункта 1 настоящего постановления, - на доведение коэффициента покрытия в национальной валюте до уровня не менее 0,4 (ноль целых четыре десятых).".</w:t>
      </w:r>
    </w:p>
    <w:bookmarkEnd w:id="44"/>
    <w:bookmarkStart w:name="z8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ноября 2019 года № 210 "Об утверждении Перечня документов, необходимых для получения микрокредита, а также Правил ведения кредитного досье по договору о предоставлении микрокредита" (зарегистрировано в Реестре государственной регистрации нормативных правовых актов под № 19683, опубликовано 10 декабря 2019 года в Эталонном контрольном банке нормативных правовых актов Республики Казахстан) следующие изменения:</w:t>
      </w:r>
    </w:p>
    <w:bookmarkEnd w:id="45"/>
    <w:bookmarkStart w:name="z8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 документов</w:t>
      </w:r>
      <w:r>
        <w:rPr>
          <w:rFonts w:ascii="Times New Roman"/>
          <w:b w:val="false"/>
          <w:i w:val="false"/>
          <w:color w:val="000000"/>
          <w:sz w:val="28"/>
        </w:rPr>
        <w:t>, необходимых для получения микрокредита, утвержденном указанным постановлением: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Для получения микрокредита заявитель-физическое лицо предоставляет:</w:t>
      </w:r>
    </w:p>
    <w:bookmarkEnd w:id="47"/>
    <w:bookmarkStart w:name="z8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со сведениями о цели использования микрокредита (в случае предоставления целевого микрокредита), об имуществе, предоставляемом в обеспечение исполнения заявителем обязательств по погашению микрокредита и выплате вознаграждения, с указанием его стоимости, либо об отсутствии обеспечения (не требуется при выдаче ломбардом залогового билета);</w:t>
      </w:r>
    </w:p>
    <w:bookmarkEnd w:id="48"/>
    <w:bookmarkStart w:name="z8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заявителя (информацию о документе, удостоверяющем личность заявителя, содержащую фамилию, имя, отчество (при его наличии), индивидуальный идентификационный номер (для резидентов и нерезидентов, имеющих индивидуальный идентификационный номер), дату рождения, номер документа, орган выдачи, дату выдачи и срок действия документа);</w:t>
      </w:r>
    </w:p>
    <w:bookmarkEnd w:id="49"/>
    <w:bookmarkStart w:name="z8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документы, подтверждающие полномочия представителя заявителя на подписание договора о предоставлении микрокредита (для представителя заявителя);</w:t>
      </w:r>
    </w:p>
    <w:bookmarkEnd w:id="50"/>
    <w:bookmarkStart w:name="z9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случае, если предоставляемый микрокредит обеспечивается залогом имущества, - договор о залоге (не требуется при выдаче ломбардом залогового билета), копии документов, подтверждающих право собственности на имущество, подлежащее регистрации, а в случаях обязательной регистрации залога имущества - свидетельство о регистрации залога имущества;</w:t>
      </w:r>
    </w:p>
    <w:bookmarkEnd w:id="51"/>
    <w:bookmarkStart w:name="z9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документы и информация, необходимые для расчета коэффициента долговой нагрузки заемщика (не требуется при получении микрокредита в кредитном товариществе и ломбарде).";</w:t>
      </w:r>
    </w:p>
    <w:bookmarkEnd w:id="52"/>
    <w:bookmarkStart w:name="z9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кредитного досье по договору о предоставлении микрокредита, утвержденных указанным постановлением: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Настоящие Правила ведения кредитного досье по договору о предоставлении микрокредита (далее - Правила) действуют в отношении договора о предоставлении микрокредита.</w:t>
      </w:r>
    </w:p>
    <w:bookmarkEnd w:id="54"/>
    <w:bookmarkStart w:name="z9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Правил распространяются на организации, осуществляющие микрофинансовую деятельность (далее - микрофинансовые организации), осуществляющие деятельность по предоставлению микрокредитов.".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регулирования финансового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которые вносятся изменения 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регулирования финансового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регулирования финансового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которые вносятся изменения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