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8f26" w14:textId="dc48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5 апреля 2021 года № 259. Зарегистрирован в Министерстве юстиции Республики Казахстан 7 апреля 2021 года № 22502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опубликован 4 июня 2020 года в Эталонном контрольном банке нормативных правовых актов Республики Казахстан в электронном виде),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2"/>
    <w:bookmarkStart w:name="z7" w:id="3"/>
    <w:p>
      <w:pPr>
        <w:spacing w:after="0"/>
        <w:ind w:left="0"/>
        <w:jc w:val="both"/>
      </w:pPr>
      <w:r>
        <w:rPr>
          <w:rFonts w:ascii="Times New Roman"/>
          <w:b w:val="false"/>
          <w:i w:val="false"/>
          <w:color w:val="000000"/>
          <w:sz w:val="28"/>
        </w:rPr>
        <w:t xml:space="preserve">
      пункт 8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85"/>
        <w:gridCol w:w="10702"/>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настоящим Правилам (далее – заявление).</w:t>
            </w:r>
            <w:r>
              <w:br/>
            </w:r>
            <w:r>
              <w:rPr>
                <w:rFonts w:ascii="Times New Roman"/>
                <w:b w:val="false"/>
                <w:i w:val="false"/>
                <w:color w:val="000000"/>
                <w:sz w:val="20"/>
              </w:rPr>
              <w:t>
</w:t>
            </w:r>
            <w:r>
              <w:rPr>
                <w:rFonts w:ascii="Times New Roman"/>
                <w:b w:val="false"/>
                <w:i w:val="false"/>
                <w:color w:val="000000"/>
                <w:sz w:val="20"/>
              </w:rPr>
              <w:t>Юридическое лицо, в доле которого участвует государство, представляет заявление с отметкой реестродержателя;</w:t>
            </w:r>
            <w:r>
              <w:br/>
            </w:r>
            <w:r>
              <w:rPr>
                <w:rFonts w:ascii="Times New Roman"/>
                <w:b w:val="false"/>
                <w:i w:val="false"/>
                <w:color w:val="000000"/>
                <w:sz w:val="20"/>
              </w:rPr>
              <w:t>
</w:t>
            </w:r>
            <w:r>
              <w:rPr>
                <w:rFonts w:ascii="Times New Roman"/>
                <w:b w:val="false"/>
                <w:i w:val="false"/>
                <w:color w:val="000000"/>
                <w:sz w:val="20"/>
              </w:rPr>
              <w:t>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 В случае, если юридическое лицо является субъектом частного предпринимательства, скрепление документов печатью не требуется;</w:t>
            </w:r>
            <w:r>
              <w:br/>
            </w:r>
            <w:r>
              <w:rPr>
                <w:rFonts w:ascii="Times New Roman"/>
                <w:b w:val="false"/>
                <w:i w:val="false"/>
                <w:color w:val="000000"/>
                <w:sz w:val="20"/>
              </w:rPr>
              <w:t>
</w:t>
            </w:r>
            <w:r>
              <w:rPr>
                <w:rFonts w:ascii="Times New Roman"/>
                <w:b w:val="false"/>
                <w:i w:val="false"/>
                <w:color w:val="000000"/>
                <w:sz w:val="20"/>
              </w:rPr>
              <w:t>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r>
              <w:br/>
            </w:r>
            <w:r>
              <w:rPr>
                <w:rFonts w:ascii="Times New Roman"/>
                <w:b w:val="false"/>
                <w:i w:val="false"/>
                <w:color w:val="000000"/>
                <w:sz w:val="20"/>
              </w:rPr>
              <w:t>
</w:t>
            </w:r>
            <w:r>
              <w:rPr>
                <w:rFonts w:ascii="Times New Roman"/>
                <w:b w:val="false"/>
                <w:i w:val="false"/>
                <w:color w:val="000000"/>
                <w:sz w:val="20"/>
              </w:rPr>
              <w:t>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r>
              <w:br/>
            </w:r>
            <w:r>
              <w:rPr>
                <w:rFonts w:ascii="Times New Roman"/>
                <w:b w:val="false"/>
                <w:i w:val="false"/>
                <w:color w:val="000000"/>
                <w:sz w:val="20"/>
              </w:rPr>
              <w:t>
</w:t>
            </w:r>
            <w:r>
              <w:rPr>
                <w:rFonts w:ascii="Times New Roman"/>
                <w:b w:val="false"/>
                <w:i w:val="false"/>
                <w:color w:val="000000"/>
                <w:sz w:val="20"/>
              </w:rPr>
              <w:t>подлинники прежних учредительных документов юридического лица, не относящегося к субъекту частного предпринимательства, за исключением акционерных обществ, положений о филиалах (представительствах);</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"Правительство для граждан"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r>
              <w:br/>
            </w:r>
            <w:r>
              <w:rPr>
                <w:rFonts w:ascii="Times New Roman"/>
                <w:b w:val="false"/>
                <w:i w:val="false"/>
                <w:color w:val="000000"/>
                <w:sz w:val="20"/>
              </w:rPr>
              <w:t>
</w:t>
            </w:r>
            <w:r>
              <w:rPr>
                <w:rFonts w:ascii="Times New Roman"/>
                <w:b w:val="false"/>
                <w:i w:val="false"/>
                <w:color w:val="000000"/>
                <w:sz w:val="20"/>
              </w:rPr>
              <w:t>Филиалы и представительства подлежат перерегистрации в случае изменения наименования.</w:t>
            </w:r>
            <w:r>
              <w:br/>
            </w:r>
            <w:r>
              <w:rPr>
                <w:rFonts w:ascii="Times New Roman"/>
                <w:b w:val="false"/>
                <w:i w:val="false"/>
                <w:color w:val="000000"/>
                <w:sz w:val="20"/>
              </w:rPr>
              <w:t>
</w:t>
            </w:r>
            <w:r>
              <w:rPr>
                <w:rFonts w:ascii="Times New Roman"/>
                <w:b w:val="false"/>
                <w:i w:val="false"/>
                <w:color w:val="000000"/>
                <w:sz w:val="20"/>
              </w:rPr>
              <w:t>2) на портале:</w:t>
            </w:r>
            <w:r>
              <w:br/>
            </w:r>
            <w:r>
              <w:rPr>
                <w:rFonts w:ascii="Times New Roman"/>
                <w:b w:val="false"/>
                <w:i w:val="false"/>
                <w:color w:val="000000"/>
                <w:sz w:val="20"/>
              </w:rPr>
              <w:t>
</w:t>
            </w:r>
            <w:r>
              <w:rPr>
                <w:rFonts w:ascii="Times New Roman"/>
                <w:b w:val="false"/>
                <w:i w:val="false"/>
                <w:color w:val="000000"/>
                <w:sz w:val="20"/>
              </w:rPr>
              <w:t>для государственной перерегистрации юридических лиц, относящихся к субъектам частного предпринимательства, учредителем (учредителями):</w:t>
            </w:r>
            <w:r>
              <w:br/>
            </w:r>
            <w:r>
              <w:rPr>
                <w:rFonts w:ascii="Times New Roman"/>
                <w:b w:val="false"/>
                <w:i w:val="false"/>
                <w:color w:val="000000"/>
                <w:sz w:val="20"/>
              </w:rPr>
              <w:t>
</w:t>
            </w:r>
            <w:r>
              <w:rPr>
                <w:rFonts w:ascii="Times New Roman"/>
                <w:b w:val="false"/>
                <w:i w:val="false"/>
                <w:color w:val="000000"/>
                <w:sz w:val="20"/>
              </w:rPr>
              <w:t>электронное заявление;</w:t>
            </w:r>
            <w:r>
              <w:br/>
            </w:r>
            <w:r>
              <w:rPr>
                <w:rFonts w:ascii="Times New Roman"/>
                <w:b w:val="false"/>
                <w:i w:val="false"/>
                <w:color w:val="000000"/>
                <w:sz w:val="20"/>
              </w:rPr>
              <w:t>
</w:t>
            </w:r>
            <w:r>
              <w:rPr>
                <w:rFonts w:ascii="Times New Roman"/>
                <w:b w:val="false"/>
                <w:i w:val="false"/>
                <w:color w:val="000000"/>
                <w:sz w:val="20"/>
              </w:rPr>
              <w:t>при уменьшении размера уставного капитала и оповещении в печатных изданиях сканированную копию вырезки о публикации;</w:t>
            </w:r>
            <w:r>
              <w:br/>
            </w:r>
            <w:r>
              <w:rPr>
                <w:rFonts w:ascii="Times New Roman"/>
                <w:b w:val="false"/>
                <w:i w:val="false"/>
                <w:color w:val="000000"/>
                <w:sz w:val="20"/>
              </w:rPr>
              <w:t>
</w:t>
            </w:r>
            <w:r>
              <w:rPr>
                <w:rFonts w:ascii="Times New Roman"/>
                <w:b w:val="false"/>
                <w:i w:val="false"/>
                <w:color w:val="000000"/>
                <w:sz w:val="20"/>
              </w:rPr>
              <w:t>сканированную копию квитанции /платежного поручения в случае, если услугополучатель не выбрал способ оплаты государственного сбора за оказание услуги посредством ПШЭП;</w:t>
            </w:r>
            <w:r>
              <w:br/>
            </w:r>
            <w:r>
              <w:rPr>
                <w:rFonts w:ascii="Times New Roman"/>
                <w:b w:val="false"/>
                <w:i w:val="false"/>
                <w:color w:val="000000"/>
                <w:sz w:val="20"/>
              </w:rPr>
              <w:t>
</w:t>
            </w:r>
            <w:r>
              <w:rPr>
                <w:rFonts w:ascii="Times New Roman"/>
                <w:b w:val="false"/>
                <w:i w:val="false"/>
                <w:color w:val="000000"/>
                <w:sz w:val="20"/>
              </w:rPr>
              <w:t>при изменении места нахождения:</w:t>
            </w:r>
            <w:r>
              <w:br/>
            </w:r>
            <w:r>
              <w:rPr>
                <w:rFonts w:ascii="Times New Roman"/>
                <w:b w:val="false"/>
                <w:i w:val="false"/>
                <w:color w:val="000000"/>
                <w:sz w:val="20"/>
              </w:rPr>
              <w:t>
</w:t>
            </w:r>
            <w:r>
              <w:rPr>
                <w:rFonts w:ascii="Times New Roman"/>
                <w:b w:val="false"/>
                <w:i w:val="false"/>
                <w:color w:val="000000"/>
                <w:sz w:val="20"/>
              </w:rPr>
              <w:t>в случае права собственности на объект недвижимости: 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r>
              <w:br/>
            </w:r>
            <w:r>
              <w:rPr>
                <w:rFonts w:ascii="Times New Roman"/>
                <w:b w:val="false"/>
                <w:i w:val="false"/>
                <w:color w:val="000000"/>
                <w:sz w:val="20"/>
              </w:rPr>
              <w:t>
</w:t>
            </w:r>
            <w:r>
              <w:rPr>
                <w:rFonts w:ascii="Times New Roman"/>
                <w:b w:val="false"/>
                <w:i w:val="false"/>
                <w:color w:val="000000"/>
                <w:sz w:val="20"/>
              </w:rPr>
              <w:t>в случае аренды помещения у юридического лица: сканированная копия договора аренды. В случае аренды помещения у физического лица: сканированная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r>
              <w:br/>
            </w:r>
            <w:r>
              <w:rPr>
                <w:rFonts w:ascii="Times New Roman"/>
                <w:b w:val="false"/>
                <w:i w:val="false"/>
                <w:color w:val="000000"/>
                <w:sz w:val="20"/>
              </w:rPr>
              <w:t>
</w:t>
            </w:r>
            <w:r>
              <w:rPr>
                <w:rFonts w:ascii="Times New Roman"/>
                <w:b w:val="false"/>
                <w:i w:val="false"/>
                <w:color w:val="000000"/>
                <w:sz w:val="20"/>
              </w:rPr>
              <w:t>в случае субаренды помещения: сканированные копии аренды и субаренды;</w:t>
            </w:r>
            <w:r>
              <w:br/>
            </w:r>
            <w:r>
              <w:rPr>
                <w:rFonts w:ascii="Times New Roman"/>
                <w:b w:val="false"/>
                <w:i w:val="false"/>
                <w:color w:val="000000"/>
                <w:sz w:val="20"/>
              </w:rPr>
              <w:t>
</w:t>
            </w:r>
            <w:r>
              <w:rPr>
                <w:rFonts w:ascii="Times New Roman"/>
                <w:b w:val="false"/>
                <w:i w:val="false"/>
                <w:color w:val="000000"/>
                <w:sz w:val="20"/>
              </w:rPr>
              <w:t>при включении в состав участников нерезидента Республики Казахстан сканированную копию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r>
              <w:br/>
            </w:r>
            <w:r>
              <w:rPr>
                <w:rFonts w:ascii="Times New Roman"/>
                <w:b w:val="false"/>
                <w:i w:val="false"/>
                <w:color w:val="000000"/>
                <w:sz w:val="20"/>
              </w:rPr>
              <w:t>
</w:t>
            </w:r>
            <w:r>
              <w:rPr>
                <w:rFonts w:ascii="Times New Roman"/>
                <w:b w:val="false"/>
                <w:i w:val="false"/>
                <w:color w:val="000000"/>
                <w:sz w:val="20"/>
              </w:rPr>
              <w:t>при включении в состав участников иностранного лица сканированную копию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r>
              <w:br/>
            </w:r>
            <w:r>
              <w:rPr>
                <w:rFonts w:ascii="Times New Roman"/>
                <w:b w:val="false"/>
                <w:i w:val="false"/>
                <w:color w:val="000000"/>
                <w:sz w:val="20"/>
              </w:rPr>
              <w:t>
</w:t>
            </w:r>
            <w:r>
              <w:rPr>
                <w:rFonts w:ascii="Times New Roman"/>
                <w:b w:val="false"/>
                <w:i w:val="false"/>
                <w:color w:val="000000"/>
                <w:sz w:val="20"/>
              </w:rPr>
              <w:t>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сканированную копию реестра участников, заверенную печатью регистратора.</w:t>
            </w:r>
            <w:r>
              <w:br/>
            </w:r>
            <w:r>
              <w:rPr>
                <w:rFonts w:ascii="Times New Roman"/>
                <w:b w:val="false"/>
                <w:i w:val="false"/>
                <w:color w:val="000000"/>
                <w:sz w:val="20"/>
              </w:rPr>
              <w:t>
</w:t>
            </w:r>
            <w:r>
              <w:rPr>
                <w:rFonts w:ascii="Times New Roman"/>
                <w:b w:val="false"/>
                <w:i w:val="false"/>
                <w:color w:val="000000"/>
                <w:sz w:val="20"/>
              </w:rPr>
              <w:t>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r>
              <w:br/>
            </w:r>
            <w:r>
              <w:rPr>
                <w:rFonts w:ascii="Times New Roman"/>
                <w:b w:val="false"/>
                <w:i w:val="false"/>
                <w:color w:val="000000"/>
                <w:sz w:val="20"/>
              </w:rPr>
              <w:t>
</w:t>
            </w:r>
            <w:r>
              <w:rPr>
                <w:rFonts w:ascii="Times New Roman"/>
                <w:b w:val="false"/>
                <w:i w:val="false"/>
                <w:color w:val="000000"/>
                <w:sz w:val="20"/>
              </w:rPr>
              <w:t>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договор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r>
              <w:br/>
            </w:r>
            <w:r>
              <w:rPr>
                <w:rFonts w:ascii="Times New Roman"/>
                <w:b w:val="false"/>
                <w:i w:val="false"/>
                <w:color w:val="000000"/>
                <w:sz w:val="20"/>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bookmarkEnd w:id="5"/>
        </w:tc>
      </w:tr>
    </w:tbl>
    <w:bookmarkStart w:name="z33" w:id="6"/>
    <w:p>
      <w:pPr>
        <w:spacing w:after="0"/>
        <w:ind w:left="0"/>
        <w:jc w:val="both"/>
      </w:pPr>
      <w:r>
        <w:rPr>
          <w:rFonts w:ascii="Times New Roman"/>
          <w:b w:val="false"/>
          <w:i w:val="false"/>
          <w:color w:val="000000"/>
          <w:sz w:val="28"/>
        </w:rPr>
        <w:t>
      ".</w:t>
      </w:r>
    </w:p>
    <w:bookmarkEnd w:id="6"/>
    <w:bookmarkStart w:name="z34" w:id="7"/>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7"/>
    <w:bookmarkStart w:name="z3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8"/>
    <w:bookmarkStart w:name="z3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38"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