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0fb5" w14:textId="88f0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по инвестициям и развитию Республики Казахстан от 21 января 2015 года № 34 "Об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 апреля 2021 года № 115/НҚ. Зарегистрирован в Министерстве юстиции Республики Казахстан 5 апреля 2021 года № 22490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21 января 2015 года № 34 "Об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(зарегистрирован в Реестре государственной регистрации нормативных правовых актов за № 10730)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3"/>
    <w:bookmarkStart w:name="z9" w:id="4"/>
    <w:p>
      <w:pPr>
        <w:spacing w:after="0"/>
        <w:ind w:left="0"/>
        <w:jc w:val="both"/>
      </w:pPr>
      <w:r>
        <w:rPr>
          <w:rFonts w:ascii="Times New Roman"/>
          <w:b w:val="false"/>
          <w:i w:val="false"/>
          <w:color w:val="000000"/>
          <w:sz w:val="28"/>
        </w:rPr>
        <w:t>
      1) дифференциальная станция – комплекс радиоэлектронных и технических средств, расположенных в пункте с известными пространственными координатами, с помощью которых осуществляется прием и обработка сигналов глобальной навигационной спутниковой системы, вычисление дифференциальных поправок и передача их в составе корректирующей информации по каналам связи потребителю для повышения точности определения его пространственных координат при нахождении потребителя в радиусе действия дифференциальной поправки;</w:t>
      </w:r>
    </w:p>
    <w:bookmarkEnd w:id="4"/>
    <w:bookmarkStart w:name="z10" w:id="5"/>
    <w:p>
      <w:pPr>
        <w:spacing w:after="0"/>
        <w:ind w:left="0"/>
        <w:jc w:val="both"/>
      </w:pPr>
      <w:r>
        <w:rPr>
          <w:rFonts w:ascii="Times New Roman"/>
          <w:b w:val="false"/>
          <w:i w:val="false"/>
          <w:color w:val="000000"/>
          <w:sz w:val="28"/>
        </w:rPr>
        <w:t>
      2) присвоение (назначение) полосы частот, радиочастот (радиочастотного канала) – разрешение на использование радиочастотного спектра, выдаваемое соответствующим радиочастотным органом пользователю радиочастотным спектром на использование указываемой в этом разрешении полосы частот, радиочастоты (радиочастотного канала) с применением радиоэлектронного средства;</w:t>
      </w:r>
    </w:p>
    <w:bookmarkEnd w:id="5"/>
    <w:bookmarkStart w:name="z11" w:id="6"/>
    <w:p>
      <w:pPr>
        <w:spacing w:after="0"/>
        <w:ind w:left="0"/>
        <w:jc w:val="both"/>
      </w:pPr>
      <w:r>
        <w:rPr>
          <w:rFonts w:ascii="Times New Roman"/>
          <w:b w:val="false"/>
          <w:i w:val="false"/>
          <w:color w:val="000000"/>
          <w:sz w:val="28"/>
        </w:rPr>
        <w:t>
      3) совместное использование частот – использование частот двумя и более пользователями</w:t>
      </w:r>
    </w:p>
    <w:bookmarkEnd w:id="6"/>
    <w:bookmarkStart w:name="z12" w:id="7"/>
    <w:p>
      <w:pPr>
        <w:spacing w:after="0"/>
        <w:ind w:left="0"/>
        <w:jc w:val="both"/>
      </w:pPr>
      <w:r>
        <w:rPr>
          <w:rFonts w:ascii="Times New Roman"/>
          <w:b w:val="false"/>
          <w:i w:val="false"/>
          <w:color w:val="000000"/>
          <w:sz w:val="28"/>
        </w:rPr>
        <w:t>
      4) национальный оператор системы высокоточной спутниковой навигации (далее – национальный оператор СВСН) – акционерное общество со стопроцентным участием государства в уставном капитале, определяемое Правительством Республики Казахстан, на которое возложены задачи создания, эксплуатации и развития системы высокоточной спутниковой навигации;</w:t>
      </w:r>
    </w:p>
    <w:bookmarkEnd w:id="7"/>
    <w:bookmarkStart w:name="z13" w:id="8"/>
    <w:p>
      <w:pPr>
        <w:spacing w:after="0"/>
        <w:ind w:left="0"/>
        <w:jc w:val="both"/>
      </w:pPr>
      <w:r>
        <w:rPr>
          <w:rFonts w:ascii="Times New Roman"/>
          <w:b w:val="false"/>
          <w:i w:val="false"/>
          <w:color w:val="000000"/>
          <w:sz w:val="28"/>
        </w:rPr>
        <w:t>
      5) высокочастотное устройство – оборудование и (или) приборы, предназначенные для генерирования и использования электромагнитной энергии в промышленных, научных, медицинских, бытовых или других целях, за исключением применения в области телекоммуникаций;</w:t>
      </w:r>
    </w:p>
    <w:bookmarkEnd w:id="8"/>
    <w:bookmarkStart w:name="z14" w:id="9"/>
    <w:p>
      <w:pPr>
        <w:spacing w:after="0"/>
        <w:ind w:left="0"/>
        <w:jc w:val="both"/>
      </w:pPr>
      <w:r>
        <w:rPr>
          <w:rFonts w:ascii="Times New Roman"/>
          <w:b w:val="false"/>
          <w:i w:val="false"/>
          <w:color w:val="000000"/>
          <w:sz w:val="28"/>
        </w:rPr>
        <w:t>
      6) подвижное радиоэлектронное средство – радиоэлектронное средство, не имеющее постоянной привязки к географическим координатам;</w:t>
      </w:r>
    </w:p>
    <w:bookmarkEnd w:id="9"/>
    <w:bookmarkStart w:name="z15" w:id="10"/>
    <w:p>
      <w:pPr>
        <w:spacing w:after="0"/>
        <w:ind w:left="0"/>
        <w:jc w:val="both"/>
      </w:pPr>
      <w:r>
        <w:rPr>
          <w:rFonts w:ascii="Times New Roman"/>
          <w:b w:val="false"/>
          <w:i w:val="false"/>
          <w:color w:val="000000"/>
          <w:sz w:val="28"/>
        </w:rPr>
        <w:t>
      7) мобильная связь – это радиосвязь между абонентами, местоположение которых может меняться;</w:t>
      </w:r>
    </w:p>
    <w:bookmarkEnd w:id="10"/>
    <w:bookmarkStart w:name="z16" w:id="11"/>
    <w:p>
      <w:pPr>
        <w:spacing w:after="0"/>
        <w:ind w:left="0"/>
        <w:jc w:val="both"/>
      </w:pPr>
      <w:r>
        <w:rPr>
          <w:rFonts w:ascii="Times New Roman"/>
          <w:b w:val="false"/>
          <w:i w:val="false"/>
          <w:color w:val="000000"/>
          <w:sz w:val="28"/>
        </w:rPr>
        <w:t>
      8) владелец РЭС и (или) ВЧУ – физическое или юридическое лицо, у которого эти средства или устройства находятся в собственности, на праве хозяйственного ведения или на праве оперативного управления, либо ином законном основании (аренда, безвозмездное пользование);</w:t>
      </w:r>
    </w:p>
    <w:bookmarkEnd w:id="11"/>
    <w:bookmarkStart w:name="z17" w:id="12"/>
    <w:p>
      <w:pPr>
        <w:spacing w:after="0"/>
        <w:ind w:left="0"/>
        <w:jc w:val="both"/>
      </w:pPr>
      <w:r>
        <w:rPr>
          <w:rFonts w:ascii="Times New Roman"/>
          <w:b w:val="false"/>
          <w:i w:val="false"/>
          <w:color w:val="000000"/>
          <w:sz w:val="28"/>
        </w:rPr>
        <w:t>
      9) радиочастотный спектр (далее – РЧС) – определенная совокупность радиочастот в диапазоне от 3 килогерц (далее – кГц) до 400 гигагерц (далее – ГГц);</w:t>
      </w:r>
    </w:p>
    <w:bookmarkEnd w:id="12"/>
    <w:bookmarkStart w:name="z18" w:id="13"/>
    <w:p>
      <w:pPr>
        <w:spacing w:after="0"/>
        <w:ind w:left="0"/>
        <w:jc w:val="both"/>
      </w:pPr>
      <w:r>
        <w:rPr>
          <w:rFonts w:ascii="Times New Roman"/>
          <w:b w:val="false"/>
          <w:i w:val="false"/>
          <w:color w:val="000000"/>
          <w:sz w:val="28"/>
        </w:rPr>
        <w:t>
      10) радиоэлектронное средство – техническое средство, предназначенное для передачи и (или) приема радиоволн и состоящее из одного или нескольких передающих и (или) приемных устройств, либо их комбинаций, включая вспомогательное оборудование;</w:t>
      </w:r>
    </w:p>
    <w:bookmarkEnd w:id="13"/>
    <w:bookmarkStart w:name="z19" w:id="14"/>
    <w:p>
      <w:pPr>
        <w:spacing w:after="0"/>
        <w:ind w:left="0"/>
        <w:jc w:val="both"/>
      </w:pPr>
      <w:r>
        <w:rPr>
          <w:rFonts w:ascii="Times New Roman"/>
          <w:b w:val="false"/>
          <w:i w:val="false"/>
          <w:color w:val="000000"/>
          <w:sz w:val="28"/>
        </w:rPr>
        <w:t>
      11) радиорелейные линии (далее – РРЛ) – радиосвязь по линии, образованной цепочкой приемо-передающих (ретрансляционных) радиостанций, в том числе радиомосты с топологией "точка-точка";</w:t>
      </w:r>
    </w:p>
    <w:bookmarkEnd w:id="14"/>
    <w:bookmarkStart w:name="z20" w:id="15"/>
    <w:p>
      <w:pPr>
        <w:spacing w:after="0"/>
        <w:ind w:left="0"/>
        <w:jc w:val="both"/>
      </w:pPr>
      <w:r>
        <w:rPr>
          <w:rFonts w:ascii="Times New Roman"/>
          <w:b w:val="false"/>
          <w:i w:val="false"/>
          <w:color w:val="000000"/>
          <w:sz w:val="28"/>
        </w:rPr>
        <w:t>
      12) стационарное радиоэлектронное средство – радиоэлектронное средство, имеющее постоянные географические координаты;</w:t>
      </w:r>
    </w:p>
    <w:bookmarkEnd w:id="15"/>
    <w:bookmarkStart w:name="z21" w:id="16"/>
    <w:p>
      <w:pPr>
        <w:spacing w:after="0"/>
        <w:ind w:left="0"/>
        <w:jc w:val="both"/>
      </w:pPr>
      <w:r>
        <w:rPr>
          <w:rFonts w:ascii="Times New Roman"/>
          <w:b w:val="false"/>
          <w:i w:val="false"/>
          <w:color w:val="000000"/>
          <w:sz w:val="28"/>
        </w:rPr>
        <w:t xml:space="preserve">
      13) Национальная таблица – таблица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20 января 2015 года № 22 (зарегистрирован в Реестре государственной регистрации нормативных правовых актов за № 10375);</w:t>
      </w:r>
    </w:p>
    <w:bookmarkEnd w:id="16"/>
    <w:bookmarkStart w:name="z22" w:id="17"/>
    <w:p>
      <w:pPr>
        <w:spacing w:after="0"/>
        <w:ind w:left="0"/>
        <w:jc w:val="both"/>
      </w:pPr>
      <w:r>
        <w:rPr>
          <w:rFonts w:ascii="Times New Roman"/>
          <w:b w:val="false"/>
          <w:i w:val="false"/>
          <w:color w:val="000000"/>
          <w:sz w:val="28"/>
        </w:rPr>
        <w:t>
      14) электромагнитная совместимость – способность технического средства функционировать с заданным качеством в заданной электромагнитной обстановке и не создавать недопустимых электромагнитных помех другим техническим средствам;</w:t>
      </w:r>
    </w:p>
    <w:bookmarkEnd w:id="17"/>
    <w:bookmarkStart w:name="z23" w:id="18"/>
    <w:p>
      <w:pPr>
        <w:spacing w:after="0"/>
        <w:ind w:left="0"/>
        <w:jc w:val="both"/>
      </w:pPr>
      <w:r>
        <w:rPr>
          <w:rFonts w:ascii="Times New Roman"/>
          <w:b w:val="false"/>
          <w:i w:val="false"/>
          <w:color w:val="000000"/>
          <w:sz w:val="28"/>
        </w:rPr>
        <w:t>
      15) VSAT-станция – земная станция спутниковой связи с малой апертурой антенны, работающая как часть спутниковой сети (с топологией звезда, каждый с каждым или точка-точка), управляемая и контролируемая централизованно с помощью функциональных средств центра управления сетью (далее – ЦУС) или назначенной VSAT-станции, выполняющей функции ЦУС.";</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25" w:id="19"/>
    <w:p>
      <w:pPr>
        <w:spacing w:after="0"/>
        <w:ind w:left="0"/>
        <w:jc w:val="both"/>
      </w:pPr>
      <w:r>
        <w:rPr>
          <w:rFonts w:ascii="Times New Roman"/>
          <w:b w:val="false"/>
          <w:i w:val="false"/>
          <w:color w:val="000000"/>
          <w:sz w:val="28"/>
        </w:rPr>
        <w:t>
      "21. Территориальные подразделения по месту использования РЧС ежегодно выставляют извещения на уплату с указанием годовой суммы платы за РЧС и направляют их пользователям РЧС посредством портала не позднее 20 февраля текущего отчетного периода.";</w:t>
      </w:r>
    </w:p>
    <w:bookmarkEnd w:id="19"/>
    <w:bookmarkStart w:name="z26" w:id="20"/>
    <w:p>
      <w:pPr>
        <w:spacing w:after="0"/>
        <w:ind w:left="0"/>
        <w:jc w:val="both"/>
      </w:pPr>
      <w:r>
        <w:rPr>
          <w:rFonts w:ascii="Times New Roman"/>
          <w:b w:val="false"/>
          <w:i w:val="false"/>
          <w:color w:val="000000"/>
          <w:sz w:val="28"/>
        </w:rPr>
        <w:t>
      дополнить пунктами 21-1, 21-2 и 21-3 следующего содержания:</w:t>
      </w:r>
    </w:p>
    <w:bookmarkEnd w:id="20"/>
    <w:bookmarkStart w:name="z27" w:id="21"/>
    <w:p>
      <w:pPr>
        <w:spacing w:after="0"/>
        <w:ind w:left="0"/>
        <w:jc w:val="both"/>
      </w:pPr>
      <w:r>
        <w:rPr>
          <w:rFonts w:ascii="Times New Roman"/>
          <w:b w:val="false"/>
          <w:i w:val="false"/>
          <w:color w:val="000000"/>
          <w:sz w:val="28"/>
        </w:rPr>
        <w:t>
      "21-1. Для операторов связи, принявших на себя обязательства по направлению самостоятельно или консолидировано средств, не менее высвобожденных от снижения соответствующей ставки платы, на финансирование проектов широкополосного доступа к Интернет в городских и сельских населенных пунктах годовая сумма платы исчисляется по сниженной на девяносто процентов ставке, установленной Налоговым кодексом.</w:t>
      </w:r>
    </w:p>
    <w:bookmarkEnd w:id="21"/>
    <w:bookmarkStart w:name="z28" w:id="22"/>
    <w:p>
      <w:pPr>
        <w:spacing w:after="0"/>
        <w:ind w:left="0"/>
        <w:jc w:val="both"/>
      </w:pPr>
      <w:r>
        <w:rPr>
          <w:rFonts w:ascii="Times New Roman"/>
          <w:b w:val="false"/>
          <w:i w:val="false"/>
          <w:color w:val="000000"/>
          <w:sz w:val="28"/>
        </w:rPr>
        <w:t>
      21-2. В случае получения и (или) переоформления разрешения на РЧС с указанием обязательств по направлению не менее высвобожденных средств от снижения соответствующей ставки платы, на финансирование проектов широкополосного доступа к Интернет в городских и сельских населенных пунктах территориальное подразделение направляет такому оператору связи новое извещение с указанием суммы, рассчитанной по сниженной на девяносто процентов ставке платы взамен ранее выданного извещения не позднее 20 числа месяца, следующего за месяцем, в котором оператором связи получено и (или) переоформлено разрешение на РЧС.</w:t>
      </w:r>
    </w:p>
    <w:bookmarkEnd w:id="22"/>
    <w:bookmarkStart w:name="z29" w:id="23"/>
    <w:p>
      <w:pPr>
        <w:spacing w:after="0"/>
        <w:ind w:left="0"/>
        <w:jc w:val="both"/>
      </w:pPr>
      <w:r>
        <w:rPr>
          <w:rFonts w:ascii="Times New Roman"/>
          <w:b w:val="false"/>
          <w:i w:val="false"/>
          <w:color w:val="000000"/>
          <w:sz w:val="28"/>
        </w:rPr>
        <w:t>
      При этом сниженная ставка платы применяется с 1 января 2020 года.</w:t>
      </w:r>
    </w:p>
    <w:bookmarkEnd w:id="23"/>
    <w:bookmarkStart w:name="z30" w:id="24"/>
    <w:p>
      <w:pPr>
        <w:spacing w:after="0"/>
        <w:ind w:left="0"/>
        <w:jc w:val="both"/>
      </w:pPr>
      <w:r>
        <w:rPr>
          <w:rFonts w:ascii="Times New Roman"/>
          <w:b w:val="false"/>
          <w:i w:val="false"/>
          <w:color w:val="000000"/>
          <w:sz w:val="28"/>
        </w:rPr>
        <w:t>
      21-3. В случае подтверждения по результатам аудированных сведений факта неисполнения оператором связи обязательств по направлению не менее высвобожденных средств от снижения соответствующей ставки платы, на финансирование проектов широкополосного доступа к Интернет в городских и сельских населенных пунктах, уполномоченный орган в области связи не ранее чем через год после года, следующего за отчетным, осуществляет перерасчет суммы годовой платы за использование РЧС за отчетный год, которая должна быть пропорциональна невыполненному объему финансовых обязательств за этот отчетный год. При этом территориальное подразделение направляет такому оператору связи новое извещение с указанием суммы, рассчитанной пропорционально не выполненным обязательствам взамен ранее выданного извещения.";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2" w:id="25"/>
    <w:p>
      <w:pPr>
        <w:spacing w:after="0"/>
        <w:ind w:left="0"/>
        <w:jc w:val="both"/>
      </w:pPr>
      <w:r>
        <w:rPr>
          <w:rFonts w:ascii="Times New Roman"/>
          <w:b w:val="false"/>
          <w:i w:val="false"/>
          <w:color w:val="000000"/>
          <w:sz w:val="28"/>
        </w:rPr>
        <w:t>
      "23. Разрешение на РЧС переоформляется без проведения процедур, указанных в пункте 8 настоящих Правил, в случаях:</w:t>
      </w:r>
    </w:p>
    <w:bookmarkEnd w:id="25"/>
    <w:bookmarkStart w:name="z33" w:id="26"/>
    <w:p>
      <w:pPr>
        <w:spacing w:after="0"/>
        <w:ind w:left="0"/>
        <w:jc w:val="both"/>
      </w:pPr>
      <w:r>
        <w:rPr>
          <w:rFonts w:ascii="Times New Roman"/>
          <w:b w:val="false"/>
          <w:i w:val="false"/>
          <w:color w:val="000000"/>
          <w:sz w:val="28"/>
        </w:rPr>
        <w:t>
      1) изменения фамилии, имени, отчества (при наличии) физического лица или наименования юридического лица;</w:t>
      </w:r>
    </w:p>
    <w:bookmarkEnd w:id="26"/>
    <w:bookmarkStart w:name="z34" w:id="27"/>
    <w:p>
      <w:pPr>
        <w:spacing w:after="0"/>
        <w:ind w:left="0"/>
        <w:jc w:val="both"/>
      </w:pPr>
      <w:r>
        <w:rPr>
          <w:rFonts w:ascii="Times New Roman"/>
          <w:b w:val="false"/>
          <w:i w:val="false"/>
          <w:color w:val="000000"/>
          <w:sz w:val="28"/>
        </w:rPr>
        <w:t>
      2) получения или переоформления услугополучателем лицензии на деятельность в области связи и телерадиовещания;</w:t>
      </w:r>
    </w:p>
    <w:bookmarkEnd w:id="27"/>
    <w:bookmarkStart w:name="z35" w:id="28"/>
    <w:p>
      <w:pPr>
        <w:spacing w:after="0"/>
        <w:ind w:left="0"/>
        <w:jc w:val="both"/>
      </w:pPr>
      <w:r>
        <w:rPr>
          <w:rFonts w:ascii="Times New Roman"/>
          <w:b w:val="false"/>
          <w:i w:val="false"/>
          <w:color w:val="000000"/>
          <w:sz w:val="28"/>
        </w:rPr>
        <w:t>
      3) окончания строк для продления разрешения на РЧС (в случае, если разрешения на РЧС ранее было выдано в бумажном виде);</w:t>
      </w:r>
    </w:p>
    <w:bookmarkEnd w:id="28"/>
    <w:bookmarkStart w:name="z36" w:id="29"/>
    <w:p>
      <w:pPr>
        <w:spacing w:after="0"/>
        <w:ind w:left="0"/>
        <w:jc w:val="both"/>
      </w:pPr>
      <w:r>
        <w:rPr>
          <w:rFonts w:ascii="Times New Roman"/>
          <w:b w:val="false"/>
          <w:i w:val="false"/>
          <w:color w:val="000000"/>
          <w:sz w:val="28"/>
        </w:rPr>
        <w:t>
      4) если юридическое лицо является правопреемником реорганизованного юридического лица;</w:t>
      </w:r>
    </w:p>
    <w:bookmarkEnd w:id="29"/>
    <w:bookmarkStart w:name="z37" w:id="30"/>
    <w:p>
      <w:pPr>
        <w:spacing w:after="0"/>
        <w:ind w:left="0"/>
        <w:jc w:val="both"/>
      </w:pPr>
      <w:r>
        <w:rPr>
          <w:rFonts w:ascii="Times New Roman"/>
          <w:b w:val="false"/>
          <w:i w:val="false"/>
          <w:color w:val="000000"/>
          <w:sz w:val="28"/>
        </w:rPr>
        <w:t>
      5) если не изменились технические параметры, назначение и место установки РЭС и ВЧУ, а также, если технические параметры не превышают значения, указанных в ранее выданном разрешении на РЧС;</w:t>
      </w:r>
    </w:p>
    <w:bookmarkEnd w:id="30"/>
    <w:bookmarkStart w:name="z38" w:id="31"/>
    <w:p>
      <w:pPr>
        <w:spacing w:after="0"/>
        <w:ind w:left="0"/>
        <w:jc w:val="both"/>
      </w:pPr>
      <w:r>
        <w:rPr>
          <w:rFonts w:ascii="Times New Roman"/>
          <w:b w:val="false"/>
          <w:i w:val="false"/>
          <w:color w:val="000000"/>
          <w:sz w:val="28"/>
        </w:rPr>
        <w:t>
      6) перевода разрешения на РЧС в электронный формат;</w:t>
      </w:r>
    </w:p>
    <w:bookmarkEnd w:id="31"/>
    <w:bookmarkStart w:name="z39" w:id="32"/>
    <w:p>
      <w:pPr>
        <w:spacing w:after="0"/>
        <w:ind w:left="0"/>
        <w:jc w:val="both"/>
      </w:pPr>
      <w:r>
        <w:rPr>
          <w:rFonts w:ascii="Times New Roman"/>
          <w:b w:val="false"/>
          <w:i w:val="false"/>
          <w:color w:val="000000"/>
          <w:sz w:val="28"/>
        </w:rPr>
        <w:t>
      7) принятия обязательств по финансированию проектов широкополосного доступа к Интернет в городских и сельских населенных пунктах.</w:t>
      </w:r>
    </w:p>
    <w:bookmarkEnd w:id="32"/>
    <w:bookmarkStart w:name="z40" w:id="33"/>
    <w:p>
      <w:pPr>
        <w:spacing w:after="0"/>
        <w:ind w:left="0"/>
        <w:jc w:val="both"/>
      </w:pPr>
      <w:r>
        <w:rPr>
          <w:rFonts w:ascii="Times New Roman"/>
          <w:b w:val="false"/>
          <w:i w:val="false"/>
          <w:color w:val="000000"/>
          <w:sz w:val="28"/>
        </w:rPr>
        <w:t>
      В случае изменений наименования административно-территориальной единицы, улицы, нумерации зданий или сооружений переоформление разрешения на РЧС не требуется.";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42" w:id="34"/>
    <w:p>
      <w:pPr>
        <w:spacing w:after="0"/>
        <w:ind w:left="0"/>
        <w:jc w:val="both"/>
      </w:pPr>
      <w:r>
        <w:rPr>
          <w:rFonts w:ascii="Times New Roman"/>
          <w:b w:val="false"/>
          <w:i w:val="false"/>
          <w:color w:val="000000"/>
          <w:sz w:val="28"/>
        </w:rPr>
        <w:t>
      "25. Для переоформления разрешения на РЧС без проведения процедур, указанных в пункте 8 к настоящим Правилам, услугополучатель направляет услугодателю посредством портала:</w:t>
      </w:r>
    </w:p>
    <w:bookmarkEnd w:id="34"/>
    <w:bookmarkStart w:name="z43" w:id="35"/>
    <w:p>
      <w:pPr>
        <w:spacing w:after="0"/>
        <w:ind w:left="0"/>
        <w:jc w:val="both"/>
      </w:pPr>
      <w:r>
        <w:rPr>
          <w:rFonts w:ascii="Times New Roman"/>
          <w:b w:val="false"/>
          <w:i w:val="false"/>
          <w:color w:val="000000"/>
          <w:sz w:val="28"/>
        </w:rPr>
        <w:t xml:space="preserve">
      1) заявку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5"/>
    <w:bookmarkStart w:name="z44" w:id="36"/>
    <w:p>
      <w:pPr>
        <w:spacing w:after="0"/>
        <w:ind w:left="0"/>
        <w:jc w:val="both"/>
      </w:pPr>
      <w:r>
        <w:rPr>
          <w:rFonts w:ascii="Times New Roman"/>
          <w:b w:val="false"/>
          <w:i w:val="false"/>
          <w:color w:val="000000"/>
          <w:sz w:val="28"/>
        </w:rPr>
        <w:t>
      2) пояснительную записку в произвольной форме;</w:t>
      </w:r>
    </w:p>
    <w:bookmarkEnd w:id="36"/>
    <w:bookmarkStart w:name="z45" w:id="37"/>
    <w:p>
      <w:pPr>
        <w:spacing w:after="0"/>
        <w:ind w:left="0"/>
        <w:jc w:val="both"/>
      </w:pPr>
      <w:r>
        <w:rPr>
          <w:rFonts w:ascii="Times New Roman"/>
          <w:b w:val="false"/>
          <w:i w:val="false"/>
          <w:color w:val="000000"/>
          <w:sz w:val="28"/>
        </w:rPr>
        <w:t>
      Для разрешения судовой станции, необходимо предоставить свидетельство о праве плавания морского судна под Государственным флагом Республики Казахстан;</w:t>
      </w:r>
    </w:p>
    <w:bookmarkEnd w:id="37"/>
    <w:bookmarkStart w:name="z46" w:id="38"/>
    <w:p>
      <w:pPr>
        <w:spacing w:after="0"/>
        <w:ind w:left="0"/>
        <w:jc w:val="both"/>
      </w:pPr>
      <w:r>
        <w:rPr>
          <w:rFonts w:ascii="Times New Roman"/>
          <w:b w:val="false"/>
          <w:i w:val="false"/>
          <w:color w:val="000000"/>
          <w:sz w:val="28"/>
        </w:rPr>
        <w:t>
      3) копия разрешения на РЧС (в случае получения на бумажном носителе);</w:t>
      </w:r>
    </w:p>
    <w:bookmarkEnd w:id="38"/>
    <w:bookmarkStart w:name="z47" w:id="39"/>
    <w:p>
      <w:pPr>
        <w:spacing w:after="0"/>
        <w:ind w:left="0"/>
        <w:jc w:val="both"/>
      </w:pPr>
      <w:r>
        <w:rPr>
          <w:rFonts w:ascii="Times New Roman"/>
          <w:b w:val="false"/>
          <w:i w:val="false"/>
          <w:color w:val="000000"/>
          <w:sz w:val="28"/>
        </w:rPr>
        <w:t>
      В случае получения разрешения на РЧС в электронном виде (посредством портала), копия разрешения на РЧС не требуется;</w:t>
      </w:r>
    </w:p>
    <w:bookmarkEnd w:id="39"/>
    <w:bookmarkStart w:name="z48" w:id="40"/>
    <w:p>
      <w:pPr>
        <w:spacing w:after="0"/>
        <w:ind w:left="0"/>
        <w:jc w:val="both"/>
      </w:pPr>
      <w:r>
        <w:rPr>
          <w:rFonts w:ascii="Times New Roman"/>
          <w:b w:val="false"/>
          <w:i w:val="false"/>
          <w:color w:val="000000"/>
          <w:sz w:val="28"/>
        </w:rPr>
        <w:t>
      4) документ, подтверждающий правопреемство, - в случае реорганизации юридического лица;</w:t>
      </w:r>
    </w:p>
    <w:bookmarkEnd w:id="40"/>
    <w:bookmarkStart w:name="z49" w:id="41"/>
    <w:p>
      <w:pPr>
        <w:spacing w:after="0"/>
        <w:ind w:left="0"/>
        <w:jc w:val="both"/>
      </w:pPr>
      <w:r>
        <w:rPr>
          <w:rFonts w:ascii="Times New Roman"/>
          <w:b w:val="false"/>
          <w:i w:val="false"/>
          <w:color w:val="000000"/>
          <w:sz w:val="28"/>
        </w:rPr>
        <w:t xml:space="preserve">
      5) 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5G), на радиоэлектронное средство системы беспроводной радиосвязи (WLL), на стационарное радиоэлектронное средство УКВ, КВ, транкинговой радиосвязи и сетей передачи данных) и морской служб (береговые, радиолокационные станции, радиомаяки и другие) согласно приложению 5, либо анкета на радиорелейную линию согласно </w:t>
      </w:r>
      <w:r>
        <w:rPr>
          <w:rFonts w:ascii="Times New Roman"/>
          <w:b w:val="false"/>
          <w:i w:val="false"/>
          <w:color w:val="000000"/>
          <w:sz w:val="28"/>
        </w:rPr>
        <w:t>приложению 6</w:t>
      </w:r>
      <w:r>
        <w:rPr>
          <w:rFonts w:ascii="Times New Roman"/>
          <w:b w:val="false"/>
          <w:i w:val="false"/>
          <w:color w:val="000000"/>
          <w:sz w:val="28"/>
        </w:rPr>
        <w:t xml:space="preserve">, либо анкета на телерадиовещательный передатчик согласно </w:t>
      </w:r>
      <w:r>
        <w:rPr>
          <w:rFonts w:ascii="Times New Roman"/>
          <w:b w:val="false"/>
          <w:i w:val="false"/>
          <w:color w:val="000000"/>
          <w:sz w:val="28"/>
        </w:rPr>
        <w:t>приложению 7</w:t>
      </w:r>
      <w:r>
        <w:rPr>
          <w:rFonts w:ascii="Times New Roman"/>
          <w:b w:val="false"/>
          <w:i w:val="false"/>
          <w:color w:val="000000"/>
          <w:sz w:val="28"/>
        </w:rPr>
        <w:t xml:space="preserve"> либо анкета на земную станцию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(для судовых станций заполненная анкета с техническими данными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w:t>
      </w:r>
    </w:p>
    <w:bookmarkEnd w:id="41"/>
    <w:bookmarkStart w:name="z50" w:id="42"/>
    <w:p>
      <w:pPr>
        <w:spacing w:after="0"/>
        <w:ind w:left="0"/>
        <w:jc w:val="both"/>
      </w:pPr>
      <w:r>
        <w:rPr>
          <w:rFonts w:ascii="Times New Roman"/>
          <w:b w:val="false"/>
          <w:i w:val="false"/>
          <w:color w:val="000000"/>
          <w:sz w:val="28"/>
        </w:rPr>
        <w:t>
      6) документ, подтверждающий уплату в государственный бюджет за использование РЧС.</w:t>
      </w:r>
    </w:p>
    <w:bookmarkEnd w:id="42"/>
    <w:bookmarkStart w:name="z51" w:id="43"/>
    <w:p>
      <w:pPr>
        <w:spacing w:after="0"/>
        <w:ind w:left="0"/>
        <w:jc w:val="both"/>
      </w:pPr>
      <w:r>
        <w:rPr>
          <w:rFonts w:ascii="Times New Roman"/>
          <w:b w:val="false"/>
          <w:i w:val="false"/>
          <w:color w:val="000000"/>
          <w:sz w:val="28"/>
        </w:rPr>
        <w:t>
      В случае переоформления разрешений на РЧС, полученных в электронном виде (посредством портала), анкета на РЭС не требуется;</w:t>
      </w:r>
    </w:p>
    <w:bookmarkEnd w:id="43"/>
    <w:bookmarkStart w:name="z52" w:id="44"/>
    <w:p>
      <w:pPr>
        <w:spacing w:after="0"/>
        <w:ind w:left="0"/>
        <w:jc w:val="both"/>
      </w:pPr>
      <w:r>
        <w:rPr>
          <w:rFonts w:ascii="Times New Roman"/>
          <w:b w:val="false"/>
          <w:i w:val="false"/>
          <w:color w:val="000000"/>
          <w:sz w:val="28"/>
        </w:rPr>
        <w:t>
      Работник услугодателя в течение одного рабочего дня с момента регистрации заявки передает на исполнение в территориальное подразделение по месту использования РЧС.";</w:t>
      </w:r>
    </w:p>
    <w:bookmarkEnd w:id="44"/>
    <w:bookmarkStart w:name="z53" w:id="45"/>
    <w:p>
      <w:pPr>
        <w:spacing w:after="0"/>
        <w:ind w:left="0"/>
        <w:jc w:val="both"/>
      </w:pPr>
      <w:r>
        <w:rPr>
          <w:rFonts w:ascii="Times New Roman"/>
          <w:b w:val="false"/>
          <w:i w:val="false"/>
          <w:color w:val="000000"/>
          <w:sz w:val="28"/>
        </w:rPr>
        <w:t>
      дополнить пунктом 25-1 следующего содержания:</w:t>
      </w:r>
    </w:p>
    <w:bookmarkEnd w:id="45"/>
    <w:bookmarkStart w:name="z54" w:id="46"/>
    <w:p>
      <w:pPr>
        <w:spacing w:after="0"/>
        <w:ind w:left="0"/>
        <w:jc w:val="both"/>
      </w:pPr>
      <w:r>
        <w:rPr>
          <w:rFonts w:ascii="Times New Roman"/>
          <w:b w:val="false"/>
          <w:i w:val="false"/>
          <w:color w:val="000000"/>
          <w:sz w:val="28"/>
        </w:rPr>
        <w:t>
      "25-1. В целях оформления обязательств по финансированию проектов широкополосного доступа в Интернет в городских и сельских населенных пунктах услугополучатель направляет разрешение на использование радиочастотного спектра для переоформления посредством Портала услугодателю, который вносит обязательства и возвращает разрешение на использование радиочастотного спектра услугополучателю в течение тридцати календарных дней со дня поступления заявки.</w:t>
      </w:r>
    </w:p>
    <w:bookmarkEnd w:id="46"/>
    <w:bookmarkStart w:name="z55" w:id="47"/>
    <w:p>
      <w:pPr>
        <w:spacing w:after="0"/>
        <w:ind w:left="0"/>
        <w:jc w:val="both"/>
      </w:pPr>
      <w:r>
        <w:rPr>
          <w:rFonts w:ascii="Times New Roman"/>
          <w:b w:val="false"/>
          <w:i w:val="false"/>
          <w:color w:val="000000"/>
          <w:sz w:val="28"/>
        </w:rPr>
        <w:t>
      При переоформлении разрешения на использование РЧС в случае принятия оператором связи обязательств по финансированию проектов широкополосного доступа в Интернет в городских и сельских населенных пунктах переоформление ранее выданных заключений ЭМС РЭС и направление новых уведомлений о начале эксплуатации РЭС не требуется.";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57" w:id="48"/>
    <w:p>
      <w:pPr>
        <w:spacing w:after="0"/>
        <w:ind w:left="0"/>
        <w:jc w:val="both"/>
      </w:pPr>
      <w:r>
        <w:rPr>
          <w:rFonts w:ascii="Times New Roman"/>
          <w:b w:val="false"/>
          <w:i w:val="false"/>
          <w:color w:val="000000"/>
          <w:sz w:val="28"/>
        </w:rPr>
        <w:t>
      "38. Восстановление или переоформление оригинала заключения ЭМС РЭС и ВЧУ производится, в случаях:</w:t>
      </w:r>
    </w:p>
    <w:bookmarkEnd w:id="48"/>
    <w:bookmarkStart w:name="z58" w:id="49"/>
    <w:p>
      <w:pPr>
        <w:spacing w:after="0"/>
        <w:ind w:left="0"/>
        <w:jc w:val="both"/>
      </w:pPr>
      <w:r>
        <w:rPr>
          <w:rFonts w:ascii="Times New Roman"/>
          <w:b w:val="false"/>
          <w:i w:val="false"/>
          <w:color w:val="000000"/>
          <w:sz w:val="28"/>
        </w:rPr>
        <w:t>
      1) утери оригинала заключения ЭМС (в случае, если выдано в бумажном виде);</w:t>
      </w:r>
    </w:p>
    <w:bookmarkEnd w:id="49"/>
    <w:bookmarkStart w:name="z59" w:id="50"/>
    <w:p>
      <w:pPr>
        <w:spacing w:after="0"/>
        <w:ind w:left="0"/>
        <w:jc w:val="both"/>
      </w:pPr>
      <w:r>
        <w:rPr>
          <w:rFonts w:ascii="Times New Roman"/>
          <w:b w:val="false"/>
          <w:i w:val="false"/>
          <w:color w:val="000000"/>
          <w:sz w:val="28"/>
        </w:rPr>
        <w:t>
      2) если юридическое лицо является правопреемником реорганизованного юридического лица, при этом, не изменились технические параметры РЭС и географические координаты расположения РЭС.</w:t>
      </w:r>
    </w:p>
    <w:bookmarkEnd w:id="50"/>
    <w:bookmarkStart w:name="z60" w:id="51"/>
    <w:p>
      <w:pPr>
        <w:spacing w:after="0"/>
        <w:ind w:left="0"/>
        <w:jc w:val="both"/>
      </w:pPr>
      <w:r>
        <w:rPr>
          <w:rFonts w:ascii="Times New Roman"/>
          <w:b w:val="false"/>
          <w:i w:val="false"/>
          <w:color w:val="000000"/>
          <w:sz w:val="28"/>
        </w:rPr>
        <w:t>
      Выдача такого документа осуществляется без проведения экспертизы ЭМС РЭС в срок не более трех рабочих дней, а также в соответствии с условиями договора между услугополучателем и Государственной радиочастотной службой.</w:t>
      </w:r>
    </w:p>
    <w:bookmarkEnd w:id="51"/>
    <w:bookmarkStart w:name="z61" w:id="52"/>
    <w:p>
      <w:pPr>
        <w:spacing w:after="0"/>
        <w:ind w:left="0"/>
        <w:jc w:val="both"/>
      </w:pPr>
      <w:r>
        <w:rPr>
          <w:rFonts w:ascii="Times New Roman"/>
          <w:b w:val="false"/>
          <w:i w:val="false"/>
          <w:color w:val="000000"/>
          <w:sz w:val="28"/>
        </w:rPr>
        <w:t>
      В случае изменения фамилии, имени, отчества (при наличии) физического лица и (или) наименования юридического лица, а также в случае переоформления разрешения на РЧС и при этом, если не изменились технические параметры РЭС и географические координаты расположения РЭС переоформление заключения ЭМС РЭС и ВЧУ не требуется.";</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63" w:id="53"/>
    <w:p>
      <w:pPr>
        <w:spacing w:after="0"/>
        <w:ind w:left="0"/>
        <w:jc w:val="both"/>
      </w:pPr>
      <w:r>
        <w:rPr>
          <w:rFonts w:ascii="Times New Roman"/>
          <w:b w:val="false"/>
          <w:i w:val="false"/>
          <w:color w:val="000000"/>
          <w:sz w:val="28"/>
        </w:rPr>
        <w:t xml:space="preserve">
      "40. В соответствии со </w:t>
      </w:r>
      <w:r>
        <w:rPr>
          <w:rFonts w:ascii="Times New Roman"/>
          <w:b w:val="false"/>
          <w:i w:val="false"/>
          <w:color w:val="000000"/>
          <w:sz w:val="28"/>
        </w:rPr>
        <w:t>статьей 16-2</w:t>
      </w:r>
      <w:r>
        <w:rPr>
          <w:rFonts w:ascii="Times New Roman"/>
          <w:b w:val="false"/>
          <w:i w:val="false"/>
          <w:color w:val="000000"/>
          <w:sz w:val="28"/>
        </w:rPr>
        <w:t xml:space="preserve"> Закона, физические и (или) юридические лица, в том числе дипломатические и консульские представительства иностранных государств, до начала или прекращения эксплуатации РЭС и (или) ВЧУ обязаны направить уведомление в территориальные подразделения для РЭС и ВЧУ, согласно перечню РЭС и ВЧУ, на которые требуется подача уведомления о начале или прекращении эксплуатации РЭС и (или) ВЧУ (далее - перечень РЭС и ВЧУ) в соответствие с </w:t>
      </w:r>
      <w:r>
        <w:rPr>
          <w:rFonts w:ascii="Times New Roman"/>
          <w:b w:val="false"/>
          <w:i w:val="false"/>
          <w:color w:val="000000"/>
          <w:sz w:val="28"/>
        </w:rPr>
        <w:t>приложением 15</w:t>
      </w:r>
      <w:r>
        <w:rPr>
          <w:rFonts w:ascii="Times New Roman"/>
          <w:b w:val="false"/>
          <w:i w:val="false"/>
          <w:color w:val="000000"/>
          <w:sz w:val="28"/>
        </w:rPr>
        <w:t xml:space="preserve"> к настоящим Правилам, за исключением РЭС, установленных на морских судах плавающих под флагом Республики Казахстан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 (зарегистрирован в Реестре государственной регистрации нормативных правовых актов № 10194).</w:t>
      </w:r>
    </w:p>
    <w:bookmarkEnd w:id="53"/>
    <w:bookmarkStart w:name="z64" w:id="54"/>
    <w:p>
      <w:pPr>
        <w:spacing w:after="0"/>
        <w:ind w:left="0"/>
        <w:jc w:val="both"/>
      </w:pPr>
      <w:r>
        <w:rPr>
          <w:rFonts w:ascii="Times New Roman"/>
          <w:b w:val="false"/>
          <w:i w:val="false"/>
          <w:color w:val="000000"/>
          <w:sz w:val="28"/>
        </w:rPr>
        <w:t>
      При переоформлении ранее выданных разрешений на РЧС по основаниям, не связанным с изменением технических параметров РЭС и географических координат расположения РЭС, направление нового уведомления о начале эксплуатации взамен ранее направленного не требуется.";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стандарту государственной услуги "Выдача, аннулирование, продление и переоформление разрешения на использование радиочастотного спектра Республики Казахстан"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68" w:id="55"/>
    <w:p>
      <w:pPr>
        <w:spacing w:after="0"/>
        <w:ind w:left="0"/>
        <w:jc w:val="both"/>
      </w:pPr>
      <w:r>
        <w:rPr>
          <w:rFonts w:ascii="Times New Roman"/>
          <w:b w:val="false"/>
          <w:i w:val="false"/>
          <w:color w:val="000000"/>
          <w:sz w:val="28"/>
        </w:rPr>
        <w:t>
      2. Комитету телекоммуникаций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55"/>
    <w:bookmarkStart w:name="z69" w:id="5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56"/>
    <w:bookmarkStart w:name="z70" w:id="57"/>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57"/>
    <w:bookmarkStart w:name="z71" w:id="5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58"/>
    <w:bookmarkStart w:name="z72" w:id="5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59"/>
    <w:bookmarkStart w:name="z73" w:id="60"/>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 за исключением абзацев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сорок восьмого, сорок девятого и пятидесятого пункта 1 настоящего приказа, которые действуют в период с 1 января 2020 года до 1 января 2025 года.</w:t>
      </w:r>
    </w:p>
    <w:bookmarkEnd w:id="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w:t>
            </w:r>
            <w:r>
              <w:br/>
            </w:r>
            <w:r>
              <w:rPr>
                <w:rFonts w:ascii="Times New Roman"/>
                <w:b w:val="false"/>
                <w:i/>
                <w:color w:val="000000"/>
                <w:sz w:val="20"/>
              </w:rPr>
              <w:t>инноваций</w:t>
            </w:r>
            <w:r>
              <w:br/>
            </w:r>
            <w:r>
              <w:rPr>
                <w:rFonts w:ascii="Times New Roman"/>
                <w:b w:val="false"/>
                <w:i/>
                <w:color w:val="000000"/>
                <w:sz w:val="20"/>
              </w:rPr>
              <w:t>и аэрокосмической промышленности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bookmarkStart w:name="z75" w:id="6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p>
    <w:bookmarkEnd w:id="61"/>
    <w:bookmarkStart w:name="z76" w:id="6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62"/>
    <w:bookmarkStart w:name="z77" w:id="6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обороны</w:t>
      </w:r>
      <w:r>
        <w:br/>
      </w:r>
      <w:r>
        <w:rPr>
          <w:rFonts w:ascii="Times New Roman"/>
          <w:b w:val="false"/>
          <w:i w:val="false"/>
          <w:color w:val="000000"/>
          <w:sz w:val="28"/>
        </w:rPr>
        <w:t>Республики Казахстан</w:t>
      </w:r>
    </w:p>
    <w:bookmarkEnd w:id="63"/>
    <w:bookmarkStart w:name="z78" w:id="6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иностранных дел</w:t>
      </w:r>
      <w:r>
        <w:br/>
      </w:r>
      <w:r>
        <w:rPr>
          <w:rFonts w:ascii="Times New Roman"/>
          <w:b w:val="false"/>
          <w:i w:val="false"/>
          <w:color w:val="000000"/>
          <w:sz w:val="28"/>
        </w:rPr>
        <w:t>Республики Казахстан</w:t>
      </w:r>
    </w:p>
    <w:bookmarkEnd w:id="64"/>
    <w:bookmarkStart w:name="z79" w:id="6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национальной безопасности</w:t>
      </w:r>
      <w:r>
        <w:br/>
      </w:r>
      <w:r>
        <w:rPr>
          <w:rFonts w:ascii="Times New Roman"/>
          <w:b w:val="false"/>
          <w:i w:val="false"/>
          <w:color w:val="000000"/>
          <w:sz w:val="28"/>
        </w:rPr>
        <w:t>Республики Казахстан</w:t>
      </w:r>
    </w:p>
    <w:bookmarkEnd w:id="65"/>
    <w:bookmarkStart w:name="z80" w:id="6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115/НҚ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аннулирование,</w:t>
            </w:r>
            <w:r>
              <w:br/>
            </w:r>
            <w:r>
              <w:rPr>
                <w:rFonts w:ascii="Times New Roman"/>
                <w:b w:val="false"/>
                <w:i w:val="false"/>
                <w:color w:val="000000"/>
                <w:sz w:val="20"/>
              </w:rPr>
              <w:t>продление и переоформление</w:t>
            </w:r>
            <w:r>
              <w:br/>
            </w:r>
            <w:r>
              <w:rPr>
                <w:rFonts w:ascii="Times New Roman"/>
                <w:b w:val="false"/>
                <w:i w:val="false"/>
                <w:color w:val="000000"/>
                <w:sz w:val="20"/>
              </w:rPr>
              <w:t>разрешения на использование</w:t>
            </w:r>
            <w:r>
              <w:br/>
            </w:r>
            <w:r>
              <w:rPr>
                <w:rFonts w:ascii="Times New Roman"/>
                <w:b w:val="false"/>
                <w:i w:val="false"/>
                <w:color w:val="000000"/>
                <w:sz w:val="20"/>
              </w:rPr>
              <w:t>радиочастотного спектра</w:t>
            </w:r>
            <w:r>
              <w:br/>
            </w:r>
            <w:r>
              <w:rPr>
                <w:rFonts w:ascii="Times New Roman"/>
                <w:b w:val="false"/>
                <w:i w:val="false"/>
                <w:color w:val="000000"/>
                <w:sz w:val="20"/>
              </w:rPr>
              <w:t>Республики Казахстан"</w:t>
            </w:r>
          </w:p>
        </w:tc>
      </w:tr>
    </w:tbl>
    <w:bookmarkStart w:name="z83" w:id="67"/>
    <w:p>
      <w:pPr>
        <w:spacing w:after="0"/>
        <w:ind w:left="0"/>
        <w:jc w:val="left"/>
      </w:pPr>
      <w:r>
        <w:rPr>
          <w:rFonts w:ascii="Times New Roman"/>
          <w:b/>
          <w:i w:val="false"/>
          <w:color w:val="000000"/>
        </w:rPr>
        <w:t xml:space="preserve"> Ставки сбора за выдачу разрешения на использование радиочастотного спектра телевизионным и радиовещательным организациям</w:t>
      </w:r>
    </w:p>
    <w:bookmarkEnd w:id="67"/>
    <w:bookmarkStart w:name="z84" w:id="68"/>
    <w:p>
      <w:pPr>
        <w:spacing w:after="0"/>
        <w:ind w:left="0"/>
        <w:jc w:val="both"/>
      </w:pPr>
      <w:r>
        <w:rPr>
          <w:rFonts w:ascii="Times New Roman"/>
          <w:b w:val="false"/>
          <w:i w:val="false"/>
          <w:color w:val="000000"/>
          <w:sz w:val="28"/>
        </w:rPr>
        <w:t>
      1) для телевидения с метровым диапазоном радиочастот:</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4772"/>
        <w:gridCol w:w="3142"/>
        <w:gridCol w:w="2599"/>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 человек)</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средства (Вт)</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один канал (МРП)</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включительно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 включительно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 включительно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bl>
    <w:bookmarkStart w:name="z85" w:id="69"/>
    <w:p>
      <w:pPr>
        <w:spacing w:after="0"/>
        <w:ind w:left="0"/>
        <w:jc w:val="both"/>
      </w:pPr>
      <w:r>
        <w:rPr>
          <w:rFonts w:ascii="Times New Roman"/>
          <w:b w:val="false"/>
          <w:i w:val="false"/>
          <w:color w:val="000000"/>
          <w:sz w:val="28"/>
        </w:rPr>
        <w:t>
      2) для телевидения с дециметровым диапазоном радиочастот</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4772"/>
        <w:gridCol w:w="3142"/>
        <w:gridCol w:w="2599"/>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 человек)</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средства (Вт)</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один канал (МРП)</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включительно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 включительно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 включительно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bl>
    <w:bookmarkStart w:name="z86" w:id="70"/>
    <w:p>
      <w:pPr>
        <w:spacing w:after="0"/>
        <w:ind w:left="0"/>
        <w:jc w:val="both"/>
      </w:pPr>
      <w:r>
        <w:rPr>
          <w:rFonts w:ascii="Times New Roman"/>
          <w:b w:val="false"/>
          <w:i w:val="false"/>
          <w:color w:val="000000"/>
          <w:sz w:val="28"/>
        </w:rPr>
        <w:t>
      3) для радиовещания с УКВ ЧМ (FM) – диапазоном радиочастот:</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4805"/>
        <w:gridCol w:w="3163"/>
        <w:gridCol w:w="2532"/>
      </w:tblGrid>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 человек)</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средства (Вт)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один канал (МРП)</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включительно</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включительно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 включительно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 включительно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bl>
    <w:bookmarkStart w:name="z87" w:id="71"/>
    <w:p>
      <w:pPr>
        <w:spacing w:after="0"/>
        <w:ind w:left="0"/>
        <w:jc w:val="both"/>
      </w:pPr>
      <w:r>
        <w:rPr>
          <w:rFonts w:ascii="Times New Roman"/>
          <w:b w:val="false"/>
          <w:i w:val="false"/>
          <w:color w:val="000000"/>
          <w:sz w:val="28"/>
        </w:rPr>
        <w:t>
      4) для радиовещания с KB, СВ, ДВ – диапазоном радиочастот:</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2113"/>
        <w:gridCol w:w="6777"/>
        <w:gridCol w:w="2279"/>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 человек)</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средства (Вт)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один канал (МРП)</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1000 включительно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 до 10000 включительно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10000 до 100000 включительно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100000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bookmarkStart w:name="z88" w:id="72"/>
    <w:p>
      <w:pPr>
        <w:spacing w:after="0"/>
        <w:ind w:left="0"/>
        <w:jc w:val="both"/>
      </w:pPr>
      <w:r>
        <w:rPr>
          <w:rFonts w:ascii="Times New Roman"/>
          <w:b w:val="false"/>
          <w:i w:val="false"/>
          <w:color w:val="000000"/>
          <w:sz w:val="28"/>
        </w:rPr>
        <w:t>
      Годовые ставки платы для видов радиосвязи:</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6510"/>
        <w:gridCol w:w="2799"/>
        <w:gridCol w:w="1805"/>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радиосвязи</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Радиосистемы персонального радиовызова (за частотное присвоение шириной 25 кГц)</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Транкинговая связь (за радиоканал шириной 25 кГц на прием/25 кГц на передачу)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(за дуплексный канал шириной 25 кГц на прием/25 кГц на передачу)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(за симплексный канал шириной 25 кГц)</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KB-связь (за одно частотное присвоение) при выходной мощности передатчика: до 50 Вт; свыше 50 Вт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3"/>
          <w:p>
            <w:pPr>
              <w:spacing w:after="20"/>
              <w:ind w:left="20"/>
              <w:jc w:val="both"/>
            </w:pPr>
            <w:r>
              <w:rPr>
                <w:rFonts w:ascii="Times New Roman"/>
                <w:b w:val="false"/>
                <w:i w:val="false"/>
                <w:color w:val="000000"/>
                <w:sz w:val="20"/>
              </w:rPr>
              <w:t>
10</w:t>
            </w:r>
            <w:r>
              <w:br/>
            </w:r>
            <w:r>
              <w:rPr>
                <w:rFonts w:ascii="Times New Roman"/>
                <w:b w:val="false"/>
                <w:i w:val="false"/>
                <w:color w:val="000000"/>
                <w:sz w:val="20"/>
              </w:rPr>
              <w:t>
20</w:t>
            </w:r>
          </w:p>
          <w:bookmarkEnd w:id="73"/>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Радиоудлинители (за канал)</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 (за полосу частот шириной 1 МГц на прием/1 МГц на передачу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Глобальная персональная подвижная спутниковая связь (за дуплексную полосу частот шириной 100 кГц на прием/100 кГц на передачу)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с HUB-технологией (за ширину полосой 100 кГц на прием/100 кГц на передачу, используемую на HUB)</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без HUB-технологии (за используемые частоты одной станцией)</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Радиорелейные линии (за дуплексный ствол на одном пролете):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поселок, село, сельский округ</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зоновые и магистральные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(за дуплексный канал шириной 25 кГц на прием/25кГц на передачу)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при использовании ШПС-технологии (за дуплексный канал шириной на прием 2 МГц/2 МГц на передачу)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Эфирно-кабельное телевидение (за полосу частот 8 МГц)</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200 тысяч человек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от 50 тысяч до 200 тысяч человек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 количеством населения до 50 тысяч человек, район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(поселок, село, сельский округ)</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радиосвязь (радиомодем, береговая связь, телеметрия, радиолокационная и другие), за один радиоканал</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0" w:id="74"/>
    <w:p>
      <w:pPr>
        <w:spacing w:after="0"/>
        <w:ind w:left="0"/>
        <w:jc w:val="both"/>
      </w:pPr>
      <w:r>
        <w:rPr>
          <w:rFonts w:ascii="Times New Roman"/>
          <w:b w:val="false"/>
          <w:i w:val="false"/>
          <w:color w:val="000000"/>
          <w:sz w:val="28"/>
        </w:rPr>
        <w:t>
      Примечание:</w:t>
      </w:r>
    </w:p>
    <w:bookmarkEnd w:id="74"/>
    <w:bookmarkStart w:name="z91" w:id="75"/>
    <w:p>
      <w:pPr>
        <w:spacing w:after="0"/>
        <w:ind w:left="0"/>
        <w:jc w:val="both"/>
      </w:pPr>
      <w:r>
        <w:rPr>
          <w:rFonts w:ascii="Times New Roman"/>
          <w:b w:val="false"/>
          <w:i w:val="false"/>
          <w:color w:val="000000"/>
          <w:sz w:val="28"/>
        </w:rPr>
        <w:t>
      * - применяется для стандартов сотовой/мобильной связи GSM/DCS, CDMA, 3G/UMTS, 4G/LTE, 5G/IMT.</w:t>
      </w:r>
    </w:p>
    <w:bookmarkEnd w:id="75"/>
    <w:bookmarkStart w:name="z92" w:id="76"/>
    <w:p>
      <w:pPr>
        <w:spacing w:after="0"/>
        <w:ind w:left="0"/>
        <w:jc w:val="both"/>
      </w:pPr>
      <w:r>
        <w:rPr>
          <w:rFonts w:ascii="Times New Roman"/>
          <w:b w:val="false"/>
          <w:i w:val="false"/>
          <w:color w:val="000000"/>
          <w:sz w:val="28"/>
        </w:rPr>
        <w:t>
      ** - сумма исчисленной годовой ставки платы за сотовую связь уменьшается на девяносто процентов, для операторов связи, принявших на себя обязательства по направлению самостоятельно или консолидировано, средства не менее высвобожденных от снижения соответствующей ставок плат, на финансирование проектов широкополосного Интернета в городской и сельской местностях.</w:t>
      </w:r>
    </w:p>
    <w:bookmarkEnd w:id="76"/>
    <w:bookmarkStart w:name="z93" w:id="77"/>
    <w:p>
      <w:pPr>
        <w:spacing w:after="0"/>
        <w:ind w:left="0"/>
        <w:jc w:val="both"/>
      </w:pPr>
      <w:r>
        <w:rPr>
          <w:rFonts w:ascii="Times New Roman"/>
          <w:b w:val="false"/>
          <w:i w:val="false"/>
          <w:color w:val="000000"/>
          <w:sz w:val="28"/>
        </w:rPr>
        <w:t>
      Годовые ставки платы для цифрового эфирного телерадиовещания составляют:</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5231"/>
        <w:gridCol w:w="1665"/>
        <w:gridCol w:w="3149"/>
      </w:tblGrid>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частот для цифрового эфирного телерадиовещания</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Телевидение/метровый диапазон частот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Телевидение/дециметровый диапазон частот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115/НҚ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bookmarkStart w:name="z96" w:id="78"/>
    <w:p>
      <w:pPr>
        <w:spacing w:after="0"/>
        <w:ind w:left="0"/>
        <w:jc w:val="left"/>
      </w:pPr>
      <w:r>
        <w:rPr>
          <w:rFonts w:ascii="Times New Roman"/>
          <w:b/>
          <w:i w:val="false"/>
          <w:color w:val="000000"/>
        </w:rPr>
        <w:t xml:space="preserve"> Анкета на стационарное радиоэлектронное средство сухопутной подвижной (на базовую станцию сотовой связи (2G, 3G, 4G), на радиоэлектронное средство системы беспроводной радиосвязи (WLL), на стационарное радиоэлектронное средство УКВ, КВ, транкинговой радиосвязи и сетейпередачи данных) и морской служб (береговые, радиолокационные станции, радиомаяки и т.д.)</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Раздел1 – Общие данные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9661"/>
            </w:tblGrid>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Территория деятельности:*</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9"/>
                <w:p>
                  <w:pPr>
                    <w:spacing w:after="20"/>
                    <w:ind w:left="20"/>
                    <w:jc w:val="both"/>
                  </w:pPr>
                </w:p>
                <w:bookmarkEnd w:id="79"/>
                <w:p>
                  <w:pPr>
                    <w:spacing w:after="20"/>
                    <w:ind w:left="20"/>
                    <w:jc w:val="both"/>
                  </w:pPr>
                  <w:r>
                    <w:drawing>
                      <wp:inline distT="0" distB="0" distL="0" distR="0">
                        <wp:extent cx="416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65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Улица:*</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0"/>
                <w:p>
                  <w:pPr>
                    <w:spacing w:after="20"/>
                    <w:ind w:left="20"/>
                    <w:jc w:val="both"/>
                  </w:pPr>
                </w:p>
                <w:bookmarkEnd w:id="80"/>
                <w:p>
                  <w:pPr>
                    <w:spacing w:after="20"/>
                    <w:ind w:left="20"/>
                    <w:jc w:val="both"/>
                  </w:pPr>
                  <w:r>
                    <w:drawing>
                      <wp:inline distT="0" distB="0" distL="0" distR="0">
                        <wp:extent cx="4140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402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Дом\Строение:</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1"/>
                <w:p>
                  <w:pPr>
                    <w:spacing w:after="20"/>
                    <w:ind w:left="20"/>
                    <w:jc w:val="both"/>
                  </w:pPr>
                </w:p>
                <w:bookmarkEnd w:id="81"/>
                <w:p>
                  <w:pPr>
                    <w:spacing w:after="20"/>
                    <w:ind w:left="20"/>
                    <w:jc w:val="both"/>
                  </w:pPr>
                  <w:r>
                    <w:drawing>
                      <wp:inline distT="0" distB="0" distL="0" distR="0">
                        <wp:extent cx="4140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402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Географические координаты С.Ш.:*</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2"/>
                <w:p>
                  <w:pPr>
                    <w:spacing w:after="20"/>
                    <w:ind w:left="20"/>
                    <w:jc w:val="both"/>
                  </w:pPr>
                </w:p>
                <w:bookmarkEnd w:id="82"/>
                <w:p>
                  <w:pPr>
                    <w:spacing w:after="20"/>
                    <w:ind w:left="20"/>
                    <w:jc w:val="both"/>
                  </w:pPr>
                  <w:r>
                    <w:drawing>
                      <wp:inline distT="0" distB="0" distL="0" distR="0">
                        <wp:extent cx="416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65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Географические координаты В.Д.:*</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3"/>
                <w:p>
                  <w:pPr>
                    <w:spacing w:after="20"/>
                    <w:ind w:left="20"/>
                    <w:jc w:val="both"/>
                  </w:pPr>
                </w:p>
                <w:bookmarkEnd w:id="83"/>
                <w:p>
                  <w:pPr>
                    <w:spacing w:after="20"/>
                    <w:ind w:left="20"/>
                    <w:jc w:val="both"/>
                  </w:pPr>
                  <w:r>
                    <w:drawing>
                      <wp:inline distT="0" distB="0" distL="0" distR="0">
                        <wp:extent cx="416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65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Общее количество секторов:*</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4"/>
                <w:p>
                  <w:pPr>
                    <w:spacing w:after="20"/>
                    <w:ind w:left="20"/>
                    <w:jc w:val="both"/>
                  </w:pPr>
                </w:p>
                <w:bookmarkEnd w:id="84"/>
                <w:p>
                  <w:pPr>
                    <w:spacing w:after="20"/>
                    <w:ind w:left="20"/>
                    <w:jc w:val="both"/>
                  </w:pPr>
                  <w:r>
                    <w:drawing>
                      <wp:inline distT="0" distB="0" distL="0" distR="0">
                        <wp:extent cx="4140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402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Стандарт связи:*</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5"/>
                <w:p>
                  <w:pPr>
                    <w:spacing w:after="20"/>
                    <w:ind w:left="20"/>
                    <w:jc w:val="both"/>
                  </w:pPr>
                </w:p>
                <w:bookmarkEnd w:id="85"/>
                <w:p>
                  <w:pPr>
                    <w:spacing w:after="20"/>
                    <w:ind w:left="20"/>
                    <w:jc w:val="both"/>
                  </w:pPr>
                  <w:r>
                    <w:drawing>
                      <wp:inline distT="0" distB="0" distL="0" distR="0">
                        <wp:extent cx="4140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402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Планируемый радиус зоны обслуживания, км:*</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6"/>
                <w:p>
                  <w:pPr>
                    <w:spacing w:after="20"/>
                    <w:ind w:left="20"/>
                    <w:jc w:val="both"/>
                  </w:pPr>
                </w:p>
                <w:bookmarkEnd w:id="86"/>
                <w:p>
                  <w:pPr>
                    <w:spacing w:after="20"/>
                    <w:ind w:left="20"/>
                    <w:jc w:val="both"/>
                  </w:pPr>
                  <w:r>
                    <w:drawing>
                      <wp:inline distT="0" distB="0" distL="0" distR="0">
                        <wp:extent cx="416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65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1-jСкорость передачи данных, Мбит/с:*</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7"/>
                <w:p>
                  <w:pPr>
                    <w:spacing w:after="20"/>
                    <w:ind w:left="20"/>
                    <w:jc w:val="both"/>
                  </w:pPr>
                </w:p>
                <w:bookmarkEnd w:id="87"/>
                <w:p>
                  <w:pPr>
                    <w:spacing w:after="20"/>
                    <w:ind w:left="20"/>
                    <w:jc w:val="both"/>
                  </w:pPr>
                  <w:r>
                    <w:drawing>
                      <wp:inline distT="0" distB="0" distL="0" distR="0">
                        <wp:extent cx="416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656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Дуплексный разнос, МГц:</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8"/>
                <w:p>
                  <w:pPr>
                    <w:spacing w:after="20"/>
                    <w:ind w:left="20"/>
                    <w:jc w:val="both"/>
                  </w:pPr>
                </w:p>
                <w:bookmarkEnd w:id="88"/>
                <w:p>
                  <w:pPr>
                    <w:spacing w:after="20"/>
                    <w:ind w:left="20"/>
                    <w:jc w:val="both"/>
                  </w:pPr>
                  <w:r>
                    <w:drawing>
                      <wp:inline distT="0" distB="0" distL="0" distR="0">
                        <wp:extent cx="406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0640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–Технические данные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9153"/>
            </w:tblGrid>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Производитель приемопередатчика:*</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9"/>
                <w:p>
                  <w:pPr>
                    <w:spacing w:after="20"/>
                    <w:ind w:left="20"/>
                    <w:jc w:val="both"/>
                  </w:pPr>
                </w:p>
                <w:bookmarkEnd w:id="89"/>
                <w:p>
                  <w:pPr>
                    <w:spacing w:after="20"/>
                    <w:ind w:left="20"/>
                    <w:jc w:val="both"/>
                  </w:pPr>
                  <w:r>
                    <w:drawing>
                      <wp:inline distT="0" distB="0" distL="0" distR="0">
                        <wp:extent cx="3479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79800" cy="93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Модель приемопередатчика:*</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0"/>
                <w:p>
                  <w:pPr>
                    <w:spacing w:after="20"/>
                    <w:ind w:left="20"/>
                    <w:jc w:val="both"/>
                  </w:pPr>
                </w:p>
                <w:bookmarkEnd w:id="90"/>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052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 Чувствительность, мкВ:*</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1"/>
                <w:p>
                  <w:pPr>
                    <w:spacing w:after="20"/>
                    <w:ind w:left="20"/>
                    <w:jc w:val="both"/>
                  </w:pPr>
                </w:p>
                <w:bookmarkEnd w:id="91"/>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052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 Вид модуляции:*</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2"/>
                <w:p>
                  <w:pPr>
                    <w:spacing w:after="20"/>
                    <w:ind w:left="20"/>
                    <w:jc w:val="both"/>
                  </w:pPr>
                </w:p>
                <w:bookmarkEnd w:id="92"/>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052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 Класс излучения</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ширина полосы:*</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3"/>
                <w:p>
                  <w:pPr>
                    <w:spacing w:after="20"/>
                    <w:ind w:left="20"/>
                    <w:jc w:val="both"/>
                  </w:pPr>
                </w:p>
                <w:bookmarkEnd w:id="93"/>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052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4"/>
                <w:p>
                  <w:pPr>
                    <w:spacing w:after="20"/>
                    <w:ind w:left="20"/>
                    <w:jc w:val="both"/>
                  </w:pPr>
                </w:p>
                <w:bookmarkEnd w:id="94"/>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052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модуляции основной несущей:*</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5"/>
                <w:p>
                  <w:pPr>
                    <w:spacing w:after="20"/>
                    <w:ind w:left="20"/>
                    <w:jc w:val="both"/>
                  </w:pPr>
                </w:p>
                <w:bookmarkEnd w:id="95"/>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052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сигнала(ов), модулирующего(их)основную несущую:*</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6"/>
                <w:p>
                  <w:pPr>
                    <w:spacing w:after="20"/>
                    <w:ind w:left="20"/>
                    <w:jc w:val="both"/>
                  </w:pPr>
                </w:p>
                <w:bookmarkEnd w:id="96"/>
                <w:p>
                  <w:pPr>
                    <w:spacing w:after="20"/>
                    <w:ind w:left="20"/>
                    <w:jc w:val="both"/>
                  </w:pPr>
                  <w:r>
                    <w:drawing>
                      <wp:inline distT="0" distB="0" distL="0" distR="0">
                        <wp:extent cx="3479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79800" cy="93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передаваемой информации:*</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7"/>
                <w:p>
                  <w:pPr>
                    <w:spacing w:after="20"/>
                    <w:ind w:left="20"/>
                    <w:jc w:val="both"/>
                  </w:pPr>
                </w:p>
                <w:bookmarkEnd w:id="97"/>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052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Подробные данные о сигнале(ах):</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8"/>
                <w:p>
                  <w:pPr>
                    <w:spacing w:after="20"/>
                    <w:ind w:left="20"/>
                    <w:jc w:val="both"/>
                  </w:pPr>
                </w:p>
                <w:bookmarkEnd w:id="98"/>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052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уплотнения:</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9"/>
                <w:p>
                  <w:pPr>
                    <w:spacing w:after="20"/>
                    <w:ind w:left="20"/>
                    <w:jc w:val="both"/>
                  </w:pPr>
                </w:p>
                <w:bookmarkEnd w:id="99"/>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052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Избирательность по соседнему каналу (не заполняется для технологий 3G), дБ:*</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0"/>
                <w:p>
                  <w:pPr>
                    <w:spacing w:after="20"/>
                    <w:ind w:left="20"/>
                    <w:jc w:val="both"/>
                  </w:pPr>
                </w:p>
                <w:bookmarkEnd w:id="100"/>
                <w:p>
                  <w:pPr>
                    <w:spacing w:after="20"/>
                    <w:ind w:left="20"/>
                    <w:jc w:val="both"/>
                  </w:pPr>
                  <w:r>
                    <w:drawing>
                      <wp:inline distT="0" distB="0" distL="0" distR="0">
                        <wp:extent cx="3479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79800" cy="93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g. Избирательность интермодуляционная (не заполняется для технологий 3G), дБ:*</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1"/>
                <w:p>
                  <w:pPr>
                    <w:spacing w:after="20"/>
                    <w:ind w:left="20"/>
                    <w:jc w:val="both"/>
                  </w:pPr>
                </w:p>
                <w:bookmarkEnd w:id="101"/>
                <w:p>
                  <w:pPr>
                    <w:spacing w:after="20"/>
                    <w:ind w:left="20"/>
                    <w:jc w:val="both"/>
                  </w:pPr>
                  <w:r>
                    <w:drawing>
                      <wp:inline distT="0" distB="0" distL="0" distR="0">
                        <wp:extent cx="3479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79800" cy="93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 Поляризация:*</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2"/>
                <w:p>
                  <w:pPr>
                    <w:spacing w:after="20"/>
                    <w:ind w:left="20"/>
                    <w:jc w:val="both"/>
                  </w:pPr>
                </w:p>
                <w:bookmarkEnd w:id="102"/>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052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 Тип антенны:*</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3"/>
                <w:p>
                  <w:pPr>
                    <w:spacing w:after="20"/>
                    <w:ind w:left="20"/>
                    <w:jc w:val="both"/>
                  </w:pPr>
                </w:p>
                <w:bookmarkEnd w:id="103"/>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052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 Направленность антенны:*</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4"/>
                <w:p>
                  <w:pPr>
                    <w:spacing w:after="20"/>
                    <w:ind w:left="20"/>
                    <w:jc w:val="both"/>
                  </w:pPr>
                </w:p>
                <w:bookmarkEnd w:id="104"/>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052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2589"/>
              <w:gridCol w:w="2503"/>
              <w:gridCol w:w="3228"/>
              <w:gridCol w:w="2162"/>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Номер сектора*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Производитель антенны*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Модель антенны*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Количество indoor антенн*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 Коэффициент усиления, дБи*</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 Азимут макс. излучения, град*</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 Высота подвеса, м*</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 Угол места,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2-q. Потери в АФУ, дБ*</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 Мощность передатчика (на сектор), Вт*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2-s.Частота приема (мин.граница), МГц*</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2-t.Частота приема (макс.граница),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2-u. Частота передачи (мин.граница), МГц*</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2-v. Частота передачи (макс.граница), МГц*</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 Несущая частота приема, МГц* (каналы согласно частотному плану**)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 Несущая частота передачи, МГц* (каналы согласно частотному плану**)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2-y. Идентификатор соты базовой станции* (Cell ID/CI)/Код зоны обслуживания (SAC)***</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Раздел 3 – Идентификационные данные***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8"/>
              <w:gridCol w:w="8852"/>
            </w:tblGrid>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Идентификационный номер базовой станций (BSIC)**</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Цветовой код сети (NCC):*</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5"/>
                <w:p>
                  <w:pPr>
                    <w:spacing w:after="20"/>
                    <w:ind w:left="20"/>
                    <w:jc w:val="both"/>
                  </w:pPr>
                </w:p>
                <w:bookmarkEnd w:id="105"/>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052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Цветовой код базовой станции (BCC):*</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6"/>
                <w:p>
                  <w:pPr>
                    <w:spacing w:after="20"/>
                    <w:ind w:left="20"/>
                    <w:jc w:val="both"/>
                  </w:pPr>
                </w:p>
                <w:bookmarkEnd w:id="106"/>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052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Идентификатор местоположения (LAI)**</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(MCC):*</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7"/>
                <w:p>
                  <w:pPr>
                    <w:spacing w:after="20"/>
                    <w:ind w:left="20"/>
                    <w:jc w:val="both"/>
                  </w:pPr>
                </w:p>
                <w:bookmarkEnd w:id="107"/>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052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мобильной сети (MNC):*</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8"/>
                <w:p>
                  <w:pPr>
                    <w:spacing w:after="20"/>
                    <w:ind w:left="20"/>
                    <w:jc w:val="both"/>
                  </w:pPr>
                </w:p>
                <w:bookmarkEnd w:id="108"/>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052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местности (LAC)/ Код зоны отслеживания (TAC):*</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9"/>
                <w:p>
                  <w:pPr>
                    <w:spacing w:after="20"/>
                    <w:ind w:left="20"/>
                    <w:jc w:val="both"/>
                  </w:pPr>
                </w:p>
                <w:bookmarkEnd w:id="109"/>
                <w:p>
                  <w:pPr>
                    <w:spacing w:after="20"/>
                    <w:ind w:left="20"/>
                    <w:jc w:val="both"/>
                  </w:pPr>
                  <w:r>
                    <w:drawing>
                      <wp:inline distT="0" distB="0" distL="0" distR="0">
                        <wp:extent cx="354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4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Раздел 4 – дополнительная информация</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1390"/>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на использование РЧС:</w:t>
                  </w:r>
                </w:p>
              </w:tc>
              <w:tc>
                <w:tcPr>
                  <w:tcW w:w="1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0"/>
                <w:p>
                  <w:pPr>
                    <w:spacing w:after="20"/>
                    <w:ind w:left="20"/>
                    <w:jc w:val="both"/>
                  </w:pPr>
                </w:p>
                <w:bookmarkEnd w:id="110"/>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052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разрешения:</w:t>
                  </w:r>
                </w:p>
              </w:tc>
              <w:tc>
                <w:tcPr>
                  <w:tcW w:w="1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1"/>
                <w:p>
                  <w:pPr>
                    <w:spacing w:after="20"/>
                    <w:ind w:left="20"/>
                    <w:jc w:val="both"/>
                  </w:pPr>
                </w:p>
                <w:bookmarkEnd w:id="111"/>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052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w:t>
                  </w:r>
                </w:p>
              </w:tc>
              <w:tc>
                <w:tcPr>
                  <w:tcW w:w="1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p>
                <w:bookmarkEnd w:id="112"/>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052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131" w:id="113"/>
    <w:p>
      <w:pPr>
        <w:spacing w:after="0"/>
        <w:ind w:left="0"/>
        <w:jc w:val="both"/>
      </w:pPr>
      <w:r>
        <w:rPr>
          <w:rFonts w:ascii="Times New Roman"/>
          <w:b w:val="false"/>
          <w:i w:val="false"/>
          <w:color w:val="000000"/>
          <w:sz w:val="28"/>
        </w:rPr>
        <w:t>
      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p>
    <w:bookmarkEnd w:id="113"/>
    <w:bookmarkStart w:name="z132" w:id="114"/>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
        <w:gridCol w:w="716"/>
        <w:gridCol w:w="5655"/>
        <w:gridCol w:w="183"/>
        <w:gridCol w:w="5656"/>
      </w:tblGrid>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Фамилия, имя, отчество</w:t>
            </w:r>
            <w:r>
              <w:br/>
            </w:r>
            <w:r>
              <w:rPr>
                <w:rFonts w:ascii="Times New Roman"/>
                <w:b w:val="false"/>
                <w:i w:val="false"/>
                <w:color w:val="000000"/>
                <w:sz w:val="20"/>
              </w:rPr>
              <w:t>
(при его наличии)</w:t>
            </w:r>
          </w:p>
          <w:bookmarkEnd w:id="115"/>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p>
          <w:bookmarkEnd w:id="116"/>
          <w:p>
            <w:pPr>
              <w:spacing w:after="20"/>
              <w:ind w:left="20"/>
              <w:jc w:val="both"/>
            </w:pPr>
            <w:r>
              <w:drawing>
                <wp:inline distT="0" distB="0" distL="0" distR="0">
                  <wp:extent cx="2032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320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p>
          <w:bookmarkEnd w:id="117"/>
          <w:p>
            <w:pPr>
              <w:spacing w:after="20"/>
              <w:ind w:left="20"/>
              <w:jc w:val="both"/>
            </w:pPr>
            <w:r>
              <w:drawing>
                <wp:inline distT="0" distB="0" distL="0" distR="0">
                  <wp:extent cx="2032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320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p>
          <w:bookmarkEnd w:id="118"/>
          <w:p>
            <w:pPr>
              <w:spacing w:after="20"/>
              <w:ind w:left="20"/>
              <w:jc w:val="both"/>
            </w:pPr>
            <w:r>
              <w:drawing>
                <wp:inline distT="0" distB="0" distL="0" distR="0">
                  <wp:extent cx="2032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320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9"/>
          <w:p>
            <w:pPr>
              <w:spacing w:after="20"/>
              <w:ind w:left="20"/>
              <w:jc w:val="both"/>
            </w:pPr>
          </w:p>
          <w:bookmarkEnd w:id="119"/>
          <w:p>
            <w:pPr>
              <w:spacing w:after="20"/>
              <w:ind w:left="20"/>
              <w:jc w:val="both"/>
            </w:pPr>
            <w:r>
              <w:drawing>
                <wp:inline distT="0" distB="0" distL="0" distR="0">
                  <wp:extent cx="2032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0320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38" w:id="120"/>
    <w:p>
      <w:pPr>
        <w:spacing w:after="0"/>
        <w:ind w:left="0"/>
        <w:jc w:val="both"/>
      </w:pPr>
      <w:r>
        <w:rPr>
          <w:rFonts w:ascii="Times New Roman"/>
          <w:b w:val="false"/>
          <w:i w:val="false"/>
          <w:color w:val="000000"/>
          <w:sz w:val="28"/>
        </w:rPr>
        <w:t>
      Примечание: основные сокращения, указанные в перечне анкеты на радиоэлектронное средство системы подвижной радиосвязи:</w:t>
      </w:r>
    </w:p>
    <w:bookmarkEnd w:id="120"/>
    <w:bookmarkStart w:name="z139" w:id="121"/>
    <w:p>
      <w:pPr>
        <w:spacing w:after="0"/>
        <w:ind w:left="0"/>
        <w:jc w:val="both"/>
      </w:pPr>
      <w:r>
        <w:rPr>
          <w:rFonts w:ascii="Times New Roman"/>
          <w:b w:val="false"/>
          <w:i w:val="false"/>
          <w:color w:val="000000"/>
          <w:sz w:val="28"/>
        </w:rPr>
        <w:t>
      * – обязательные поля к заполнению;</w:t>
      </w:r>
    </w:p>
    <w:bookmarkEnd w:id="121"/>
    <w:bookmarkStart w:name="z140" w:id="122"/>
    <w:p>
      <w:pPr>
        <w:spacing w:after="0"/>
        <w:ind w:left="0"/>
        <w:jc w:val="both"/>
      </w:pPr>
      <w:r>
        <w:rPr>
          <w:rFonts w:ascii="Times New Roman"/>
          <w:b w:val="false"/>
          <w:i w:val="false"/>
          <w:color w:val="000000"/>
          <w:sz w:val="28"/>
        </w:rPr>
        <w:t>
      ** – каналы согласно частотному плану - GSM 900, GSM 1800, UMTS, CDMA 450, CDMA 800, LTE, Wi-Fi;</w:t>
      </w:r>
    </w:p>
    <w:bookmarkEnd w:id="122"/>
    <w:bookmarkStart w:name="z141" w:id="123"/>
    <w:p>
      <w:pPr>
        <w:spacing w:after="0"/>
        <w:ind w:left="0"/>
        <w:jc w:val="both"/>
      </w:pPr>
      <w:r>
        <w:rPr>
          <w:rFonts w:ascii="Times New Roman"/>
          <w:b w:val="false"/>
          <w:i w:val="false"/>
          <w:color w:val="000000"/>
          <w:sz w:val="28"/>
        </w:rPr>
        <w:t>
      ***– поля и разделы исключительно для базовых станций сотовой связи;</w:t>
      </w:r>
    </w:p>
    <w:bookmarkEnd w:id="123"/>
    <w:bookmarkStart w:name="z142" w:id="124"/>
    <w:p>
      <w:pPr>
        <w:spacing w:after="0"/>
        <w:ind w:left="0"/>
        <w:jc w:val="both"/>
      </w:pPr>
      <w:r>
        <w:rPr>
          <w:rFonts w:ascii="Times New Roman"/>
          <w:b w:val="false"/>
          <w:i w:val="false"/>
          <w:color w:val="000000"/>
          <w:sz w:val="28"/>
        </w:rPr>
        <w:t>
      АФУ – антенно-фидерное устройство;</w:t>
      </w:r>
    </w:p>
    <w:bookmarkEnd w:id="124"/>
    <w:bookmarkStart w:name="z143" w:id="125"/>
    <w:p>
      <w:pPr>
        <w:spacing w:after="0"/>
        <w:ind w:left="0"/>
        <w:jc w:val="both"/>
      </w:pPr>
      <w:r>
        <w:rPr>
          <w:rFonts w:ascii="Times New Roman"/>
          <w:b w:val="false"/>
          <w:i w:val="false"/>
          <w:color w:val="000000"/>
          <w:sz w:val="28"/>
        </w:rPr>
        <w:t>
      АЧХ – амплитудно-частотная характеристика;</w:t>
      </w:r>
    </w:p>
    <w:bookmarkEnd w:id="125"/>
    <w:bookmarkStart w:name="z144" w:id="126"/>
    <w:p>
      <w:pPr>
        <w:spacing w:after="0"/>
        <w:ind w:left="0"/>
        <w:jc w:val="both"/>
      </w:pPr>
      <w:r>
        <w:rPr>
          <w:rFonts w:ascii="Times New Roman"/>
          <w:b w:val="false"/>
          <w:i w:val="false"/>
          <w:color w:val="000000"/>
          <w:sz w:val="28"/>
        </w:rPr>
        <w:t>
      Вт – ватт;</w:t>
      </w:r>
    </w:p>
    <w:bookmarkEnd w:id="126"/>
    <w:bookmarkStart w:name="z145" w:id="127"/>
    <w:p>
      <w:pPr>
        <w:spacing w:after="0"/>
        <w:ind w:left="0"/>
        <w:jc w:val="both"/>
      </w:pPr>
      <w:r>
        <w:rPr>
          <w:rFonts w:ascii="Times New Roman"/>
          <w:b w:val="false"/>
          <w:i w:val="false"/>
          <w:color w:val="000000"/>
          <w:sz w:val="28"/>
        </w:rPr>
        <w:t>
      С.Ш. и В.Д – северной широты и восточной долготы;</w:t>
      </w:r>
    </w:p>
    <w:bookmarkEnd w:id="127"/>
    <w:bookmarkStart w:name="z146" w:id="128"/>
    <w:p>
      <w:pPr>
        <w:spacing w:after="0"/>
        <w:ind w:left="0"/>
        <w:jc w:val="both"/>
      </w:pPr>
      <w:r>
        <w:rPr>
          <w:rFonts w:ascii="Times New Roman"/>
          <w:b w:val="false"/>
          <w:i w:val="false"/>
          <w:color w:val="000000"/>
          <w:sz w:val="28"/>
        </w:rPr>
        <w:t>
      град. – градус;</w:t>
      </w:r>
    </w:p>
    <w:bookmarkEnd w:id="128"/>
    <w:bookmarkStart w:name="z147" w:id="129"/>
    <w:p>
      <w:pPr>
        <w:spacing w:after="0"/>
        <w:ind w:left="0"/>
        <w:jc w:val="both"/>
      </w:pPr>
      <w:r>
        <w:rPr>
          <w:rFonts w:ascii="Times New Roman"/>
          <w:b w:val="false"/>
          <w:i w:val="false"/>
          <w:color w:val="000000"/>
          <w:sz w:val="28"/>
        </w:rPr>
        <w:t>
      дБ – децибел;</w:t>
      </w:r>
    </w:p>
    <w:bookmarkEnd w:id="129"/>
    <w:bookmarkStart w:name="z148" w:id="130"/>
    <w:p>
      <w:pPr>
        <w:spacing w:after="0"/>
        <w:ind w:left="0"/>
        <w:jc w:val="both"/>
      </w:pPr>
      <w:r>
        <w:rPr>
          <w:rFonts w:ascii="Times New Roman"/>
          <w:b w:val="false"/>
          <w:i w:val="false"/>
          <w:color w:val="000000"/>
          <w:sz w:val="28"/>
        </w:rPr>
        <w:t>
      дБи – изотропный децибел;</w:t>
      </w:r>
    </w:p>
    <w:bookmarkEnd w:id="130"/>
    <w:bookmarkStart w:name="z149" w:id="131"/>
    <w:p>
      <w:pPr>
        <w:spacing w:after="0"/>
        <w:ind w:left="0"/>
        <w:jc w:val="both"/>
      </w:pPr>
      <w:r>
        <w:rPr>
          <w:rFonts w:ascii="Times New Roman"/>
          <w:b w:val="false"/>
          <w:i w:val="false"/>
          <w:color w:val="000000"/>
          <w:sz w:val="28"/>
        </w:rPr>
        <w:t>
      м – метр;</w:t>
      </w:r>
    </w:p>
    <w:bookmarkEnd w:id="131"/>
    <w:bookmarkStart w:name="z150" w:id="132"/>
    <w:p>
      <w:pPr>
        <w:spacing w:after="0"/>
        <w:ind w:left="0"/>
        <w:jc w:val="both"/>
      </w:pPr>
      <w:r>
        <w:rPr>
          <w:rFonts w:ascii="Times New Roman"/>
          <w:b w:val="false"/>
          <w:i w:val="false"/>
          <w:color w:val="000000"/>
          <w:sz w:val="28"/>
        </w:rPr>
        <w:t>
      км – километр;</w:t>
      </w:r>
    </w:p>
    <w:bookmarkEnd w:id="132"/>
    <w:bookmarkStart w:name="z151" w:id="133"/>
    <w:p>
      <w:pPr>
        <w:spacing w:after="0"/>
        <w:ind w:left="0"/>
        <w:jc w:val="both"/>
      </w:pPr>
      <w:r>
        <w:rPr>
          <w:rFonts w:ascii="Times New Roman"/>
          <w:b w:val="false"/>
          <w:i w:val="false"/>
          <w:color w:val="000000"/>
          <w:sz w:val="28"/>
        </w:rPr>
        <w:t>
      мкВ – микровольт;</w:t>
      </w:r>
    </w:p>
    <w:bookmarkEnd w:id="133"/>
    <w:bookmarkStart w:name="z152" w:id="134"/>
    <w:p>
      <w:pPr>
        <w:spacing w:after="0"/>
        <w:ind w:left="0"/>
        <w:jc w:val="both"/>
      </w:pPr>
      <w:r>
        <w:rPr>
          <w:rFonts w:ascii="Times New Roman"/>
          <w:b w:val="false"/>
          <w:i w:val="false"/>
          <w:color w:val="000000"/>
          <w:sz w:val="28"/>
        </w:rPr>
        <w:t>
      РЭС – радиоэлектронное средство;</w:t>
      </w:r>
    </w:p>
    <w:bookmarkEnd w:id="134"/>
    <w:bookmarkStart w:name="z153" w:id="135"/>
    <w:p>
      <w:pPr>
        <w:spacing w:after="0"/>
        <w:ind w:left="0"/>
        <w:jc w:val="both"/>
      </w:pPr>
      <w:r>
        <w:rPr>
          <w:rFonts w:ascii="Times New Roman"/>
          <w:b w:val="false"/>
          <w:i w:val="false"/>
          <w:color w:val="000000"/>
          <w:sz w:val="28"/>
        </w:rPr>
        <w:t>
      BCC – Base station Colour Code (Цветовой код базовой станции);</w:t>
      </w:r>
    </w:p>
    <w:bookmarkEnd w:id="135"/>
    <w:bookmarkStart w:name="z154" w:id="136"/>
    <w:p>
      <w:pPr>
        <w:spacing w:after="0"/>
        <w:ind w:left="0"/>
        <w:jc w:val="both"/>
      </w:pPr>
      <w:r>
        <w:rPr>
          <w:rFonts w:ascii="Times New Roman"/>
          <w:b w:val="false"/>
          <w:i w:val="false"/>
          <w:color w:val="000000"/>
          <w:sz w:val="28"/>
        </w:rPr>
        <w:t>
      BSIC – BaseStationIdentityCode (Идентификационный номер базовой станций);</w:t>
      </w:r>
    </w:p>
    <w:bookmarkEnd w:id="136"/>
    <w:bookmarkStart w:name="z155" w:id="137"/>
    <w:p>
      <w:pPr>
        <w:spacing w:after="0"/>
        <w:ind w:left="0"/>
        <w:jc w:val="both"/>
      </w:pPr>
      <w:r>
        <w:rPr>
          <w:rFonts w:ascii="Times New Roman"/>
          <w:b w:val="false"/>
          <w:i w:val="false"/>
          <w:color w:val="000000"/>
          <w:sz w:val="28"/>
        </w:rPr>
        <w:t>
      CDMA – CodeDivisionMultipleAccess (Множественный доступ с кодовым разделением);</w:t>
      </w:r>
    </w:p>
    <w:bookmarkEnd w:id="137"/>
    <w:bookmarkStart w:name="z156" w:id="138"/>
    <w:p>
      <w:pPr>
        <w:spacing w:after="0"/>
        <w:ind w:left="0"/>
        <w:jc w:val="both"/>
      </w:pPr>
      <w:r>
        <w:rPr>
          <w:rFonts w:ascii="Times New Roman"/>
          <w:b w:val="false"/>
          <w:i w:val="false"/>
          <w:color w:val="000000"/>
          <w:sz w:val="28"/>
        </w:rPr>
        <w:t>
      Cell ID - Cell Identifier (Идентификатор соты. Указывается для стандартов GSM и LTE);</w:t>
      </w:r>
    </w:p>
    <w:bookmarkEnd w:id="138"/>
    <w:bookmarkStart w:name="z157" w:id="139"/>
    <w:p>
      <w:pPr>
        <w:spacing w:after="0"/>
        <w:ind w:left="0"/>
        <w:jc w:val="both"/>
      </w:pPr>
      <w:r>
        <w:rPr>
          <w:rFonts w:ascii="Times New Roman"/>
          <w:b w:val="false"/>
          <w:i w:val="false"/>
          <w:color w:val="000000"/>
          <w:sz w:val="28"/>
        </w:rPr>
        <w:t>
      GSM – Global System for Mobile Communications (Глобальнаясистемамобильнойсвязи);</w:t>
      </w:r>
    </w:p>
    <w:bookmarkEnd w:id="139"/>
    <w:bookmarkStart w:name="z158" w:id="140"/>
    <w:p>
      <w:pPr>
        <w:spacing w:after="0"/>
        <w:ind w:left="0"/>
        <w:jc w:val="both"/>
      </w:pPr>
      <w:r>
        <w:rPr>
          <w:rFonts w:ascii="Times New Roman"/>
          <w:b w:val="false"/>
          <w:i w:val="false"/>
          <w:color w:val="000000"/>
          <w:sz w:val="28"/>
        </w:rPr>
        <w:t>
      LAC – Location Area Code (Кодместности. Указывается только для стандартов GSM и UMTS);</w:t>
      </w:r>
    </w:p>
    <w:bookmarkEnd w:id="140"/>
    <w:bookmarkStart w:name="z159" w:id="141"/>
    <w:p>
      <w:pPr>
        <w:spacing w:after="0"/>
        <w:ind w:left="0"/>
        <w:jc w:val="both"/>
      </w:pPr>
      <w:r>
        <w:rPr>
          <w:rFonts w:ascii="Times New Roman"/>
          <w:b w:val="false"/>
          <w:i w:val="false"/>
          <w:color w:val="000000"/>
          <w:sz w:val="28"/>
        </w:rPr>
        <w:t>
      LAI – Location Area Identification (Идентификатор местоположения);</w:t>
      </w:r>
    </w:p>
    <w:bookmarkEnd w:id="141"/>
    <w:bookmarkStart w:name="z160" w:id="142"/>
    <w:p>
      <w:pPr>
        <w:spacing w:after="0"/>
        <w:ind w:left="0"/>
        <w:jc w:val="both"/>
      </w:pPr>
      <w:r>
        <w:rPr>
          <w:rFonts w:ascii="Times New Roman"/>
          <w:b w:val="false"/>
          <w:i w:val="false"/>
          <w:color w:val="000000"/>
          <w:sz w:val="28"/>
        </w:rPr>
        <w:t>
      LTE – Long Term Evolution (Долгосрочное развитие);</w:t>
      </w:r>
    </w:p>
    <w:bookmarkEnd w:id="142"/>
    <w:bookmarkStart w:name="z161" w:id="143"/>
    <w:p>
      <w:pPr>
        <w:spacing w:after="0"/>
        <w:ind w:left="0"/>
        <w:jc w:val="both"/>
      </w:pPr>
      <w:r>
        <w:rPr>
          <w:rFonts w:ascii="Times New Roman"/>
          <w:b w:val="false"/>
          <w:i w:val="false"/>
          <w:color w:val="000000"/>
          <w:sz w:val="28"/>
        </w:rPr>
        <w:t>
      MCC – Mobile Country Code (Кодстраны);</w:t>
      </w:r>
    </w:p>
    <w:bookmarkEnd w:id="143"/>
    <w:bookmarkStart w:name="z162" w:id="144"/>
    <w:p>
      <w:pPr>
        <w:spacing w:after="0"/>
        <w:ind w:left="0"/>
        <w:jc w:val="both"/>
      </w:pPr>
      <w:r>
        <w:rPr>
          <w:rFonts w:ascii="Times New Roman"/>
          <w:b w:val="false"/>
          <w:i w:val="false"/>
          <w:color w:val="000000"/>
          <w:sz w:val="28"/>
        </w:rPr>
        <w:t>
      MNC – Mobile Network Code (Код мобильной сети. Указывается для всех стандартов);</w:t>
      </w:r>
    </w:p>
    <w:bookmarkEnd w:id="144"/>
    <w:bookmarkStart w:name="z163" w:id="145"/>
    <w:p>
      <w:pPr>
        <w:spacing w:after="0"/>
        <w:ind w:left="0"/>
        <w:jc w:val="both"/>
      </w:pPr>
      <w:r>
        <w:rPr>
          <w:rFonts w:ascii="Times New Roman"/>
          <w:b w:val="false"/>
          <w:i w:val="false"/>
          <w:color w:val="000000"/>
          <w:sz w:val="28"/>
        </w:rPr>
        <w:t xml:space="preserve">
      NCC –NetworkColourCode (Цветовой код сети); </w:t>
      </w:r>
    </w:p>
    <w:bookmarkEnd w:id="145"/>
    <w:bookmarkStart w:name="z164" w:id="146"/>
    <w:p>
      <w:pPr>
        <w:spacing w:after="0"/>
        <w:ind w:left="0"/>
        <w:jc w:val="both"/>
      </w:pPr>
      <w:r>
        <w:rPr>
          <w:rFonts w:ascii="Times New Roman"/>
          <w:b w:val="false"/>
          <w:i w:val="false"/>
          <w:color w:val="000000"/>
          <w:sz w:val="28"/>
        </w:rPr>
        <w:t>
      SAC –ServiceAreaCode (Код зоны обслуживания. Указывается для стандарта UMTS);</w:t>
      </w:r>
    </w:p>
    <w:bookmarkEnd w:id="146"/>
    <w:bookmarkStart w:name="z165" w:id="147"/>
    <w:p>
      <w:pPr>
        <w:spacing w:after="0"/>
        <w:ind w:left="0"/>
        <w:jc w:val="both"/>
      </w:pPr>
      <w:r>
        <w:rPr>
          <w:rFonts w:ascii="Times New Roman"/>
          <w:b w:val="false"/>
          <w:i w:val="false"/>
          <w:color w:val="000000"/>
          <w:sz w:val="28"/>
        </w:rPr>
        <w:t>
      TAC – TrackingAreaCode (Кодзоныотслеживания. Указывается только для стандарта LTE);</w:t>
      </w:r>
    </w:p>
    <w:bookmarkEnd w:id="147"/>
    <w:bookmarkStart w:name="z166" w:id="148"/>
    <w:p>
      <w:pPr>
        <w:spacing w:after="0"/>
        <w:ind w:left="0"/>
        <w:jc w:val="both"/>
      </w:pPr>
      <w:r>
        <w:rPr>
          <w:rFonts w:ascii="Times New Roman"/>
          <w:b w:val="false"/>
          <w:i w:val="false"/>
          <w:color w:val="000000"/>
          <w:sz w:val="28"/>
        </w:rPr>
        <w:t>
      UMTS –UniversalMobileTelecommunicationsSystem (Универсальная мобильная телекоммуникационная система).</w:t>
      </w:r>
    </w:p>
    <w:bookmarkEnd w:id="148"/>
    <w:bookmarkStart w:name="z167" w:id="149"/>
    <w:p>
      <w:pPr>
        <w:spacing w:after="0"/>
        <w:ind w:left="0"/>
        <w:jc w:val="both"/>
      </w:pPr>
      <w:r>
        <w:rPr>
          <w:rFonts w:ascii="Times New Roman"/>
          <w:b w:val="false"/>
          <w:i w:val="false"/>
          <w:color w:val="000000"/>
          <w:sz w:val="28"/>
        </w:rPr>
        <w:t>
      Wi-Fi – WirelessFidelity (беспроводная точность).</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115/НҚ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8093"/>
        <w:gridCol w:w="2104"/>
      </w:tblGrid>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Телекоммуникациялар комитеті</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0"/>
          <w:p>
            <w:pPr>
              <w:spacing w:after="20"/>
              <w:ind w:left="20"/>
              <w:jc w:val="both"/>
            </w:pPr>
          </w:p>
          <w:bookmarkEnd w:id="150"/>
          <w:p>
            <w:pPr>
              <w:spacing w:after="20"/>
              <w:ind w:left="20"/>
              <w:jc w:val="both"/>
            </w:pPr>
            <w:r>
              <w:drawing>
                <wp:inline distT="0" distB="0" distL="0" distR="0">
                  <wp:extent cx="19939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93900" cy="194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Министерства цифрового развития, инноваций и аэрокосмической промышленности Республики Казахстан</w:t>
            </w:r>
          </w:p>
        </w:tc>
      </w:tr>
    </w:tbl>
    <w:bookmarkStart w:name="z172" w:id="151"/>
    <w:p>
      <w:pPr>
        <w:spacing w:after="0"/>
        <w:ind w:left="0"/>
        <w:jc w:val="left"/>
      </w:pPr>
      <w:r>
        <w:rPr>
          <w:rFonts w:ascii="Times New Roman"/>
          <w:b/>
          <w:i w:val="false"/>
          <w:color w:val="000000"/>
        </w:rPr>
        <w:t xml:space="preserve"> Қазақстан Республикасының радиожиілік спектрін пайдалануға рұқсат</w:t>
      </w:r>
      <w:r>
        <w:br/>
      </w:r>
      <w:r>
        <w:rPr>
          <w:rFonts w:ascii="Times New Roman"/>
          <w:b/>
          <w:i w:val="false"/>
          <w:color w:val="000000"/>
        </w:rPr>
        <w:t>Разрешение на использование радиочастотного спектра Республики Казахстан</w:t>
      </w:r>
    </w:p>
    <w:bookmarkEnd w:id="151"/>
    <w:bookmarkStart w:name="z173" w:id="152"/>
    <w:p>
      <w:pPr>
        <w:spacing w:after="0"/>
        <w:ind w:left="0"/>
        <w:jc w:val="both"/>
      </w:pPr>
      <w:r>
        <w:rPr>
          <w:rFonts w:ascii="Times New Roman"/>
          <w:b w:val="false"/>
          <w:i w:val="false"/>
          <w:color w:val="000000"/>
          <w:sz w:val="28"/>
        </w:rPr>
        <w:t>
      РЖС N A/BB-CCC/DDDD</w:t>
      </w:r>
    </w:p>
    <w:bookmarkEnd w:id="152"/>
    <w:bookmarkStart w:name="z174" w:id="153"/>
    <w:p>
      <w:pPr>
        <w:spacing w:after="0"/>
        <w:ind w:left="0"/>
        <w:jc w:val="both"/>
      </w:pPr>
      <w:r>
        <w:rPr>
          <w:rFonts w:ascii="Times New Roman"/>
          <w:b w:val="false"/>
          <w:i w:val="false"/>
          <w:color w:val="000000"/>
          <w:sz w:val="28"/>
        </w:rPr>
        <w:t>
      РЧС N A/BB-CCC/DDDD</w:t>
      </w:r>
    </w:p>
    <w:bookmarkEnd w:id="153"/>
    <w:bookmarkStart w:name="z175" w:id="154"/>
    <w:p>
      <w:pPr>
        <w:spacing w:after="0"/>
        <w:ind w:left="0"/>
        <w:jc w:val="both"/>
      </w:pPr>
      <w:r>
        <w:rPr>
          <w:rFonts w:ascii="Times New Roman"/>
          <w:b w:val="false"/>
          <w:i w:val="false"/>
          <w:color w:val="000000"/>
          <w:sz w:val="28"/>
        </w:rPr>
        <w:t>
      Берілді (заңдыжәнежекетұлғалардыңатауы)</w:t>
      </w:r>
    </w:p>
    <w:bookmarkEnd w:id="154"/>
    <w:bookmarkStart w:name="z176" w:id="155"/>
    <w:p>
      <w:pPr>
        <w:spacing w:after="0"/>
        <w:ind w:left="0"/>
        <w:jc w:val="both"/>
      </w:pPr>
      <w:r>
        <w:rPr>
          <w:rFonts w:ascii="Times New Roman"/>
          <w:b w:val="false"/>
          <w:i w:val="false"/>
          <w:color w:val="000000"/>
          <w:sz w:val="28"/>
        </w:rPr>
        <w:t>
      Выдано (наименование юридического или физического лица)</w:t>
      </w:r>
    </w:p>
    <w:bookmarkEnd w:id="155"/>
    <w:bookmarkStart w:name="z177" w:id="156"/>
    <w:p>
      <w:pPr>
        <w:spacing w:after="0"/>
        <w:ind w:left="0"/>
        <w:jc w:val="both"/>
      </w:pPr>
      <w:r>
        <w:rPr>
          <w:rFonts w:ascii="Times New Roman"/>
          <w:b w:val="false"/>
          <w:i w:val="false"/>
          <w:color w:val="000000"/>
          <w:sz w:val="28"/>
        </w:rPr>
        <w:t>
      Ұйымдастыру үшін: (радиобайланыс түрі)</w:t>
      </w:r>
    </w:p>
    <w:bookmarkEnd w:id="156"/>
    <w:bookmarkStart w:name="z178" w:id="157"/>
    <w:p>
      <w:pPr>
        <w:spacing w:after="0"/>
        <w:ind w:left="0"/>
        <w:jc w:val="both"/>
      </w:pPr>
      <w:r>
        <w:rPr>
          <w:rFonts w:ascii="Times New Roman"/>
          <w:b w:val="false"/>
          <w:i w:val="false"/>
          <w:color w:val="000000"/>
          <w:sz w:val="28"/>
        </w:rPr>
        <w:t>
      Для организации: (вид радиосвязи)</w:t>
      </w:r>
    </w:p>
    <w:bookmarkEnd w:id="157"/>
    <w:bookmarkStart w:name="z179" w:id="158"/>
    <w:p>
      <w:pPr>
        <w:spacing w:after="0"/>
        <w:ind w:left="0"/>
        <w:jc w:val="both"/>
      </w:pPr>
      <w:r>
        <w:rPr>
          <w:rFonts w:ascii="Times New Roman"/>
          <w:b w:val="false"/>
          <w:i w:val="false"/>
          <w:color w:val="000000"/>
          <w:sz w:val="28"/>
        </w:rPr>
        <w:t>
      Мынадай көрсеткіштері бар радиожиіліктерін пайдалануға рұқсат етіледі:</w:t>
      </w:r>
    </w:p>
    <w:bookmarkEnd w:id="158"/>
    <w:bookmarkStart w:name="z180" w:id="159"/>
    <w:p>
      <w:pPr>
        <w:spacing w:after="0"/>
        <w:ind w:left="0"/>
        <w:jc w:val="both"/>
      </w:pPr>
      <w:r>
        <w:rPr>
          <w:rFonts w:ascii="Times New Roman"/>
          <w:b w:val="false"/>
          <w:i w:val="false"/>
          <w:color w:val="000000"/>
          <w:sz w:val="28"/>
        </w:rPr>
        <w:t>
      Разрешается использовать радиочастоты со следующими данными:</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2"/>
        <w:gridCol w:w="1371"/>
        <w:gridCol w:w="1371"/>
        <w:gridCol w:w="2426"/>
        <w:gridCol w:w="1371"/>
        <w:gridCol w:w="2955"/>
        <w:gridCol w:w="844"/>
      </w:tblGrid>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0"/>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bookmarkEnd w:id="160"/>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1"/>
          <w:p>
            <w:pPr>
              <w:spacing w:after="20"/>
              <w:ind w:left="20"/>
              <w:jc w:val="both"/>
            </w:pPr>
            <w:r>
              <w:rPr>
                <w:rFonts w:ascii="Times New Roman"/>
                <w:b w:val="false"/>
                <w:i w:val="false"/>
                <w:color w:val="000000"/>
                <w:sz w:val="20"/>
              </w:rPr>
              <w:t>
Орнатылу пункті</w:t>
            </w:r>
            <w:r>
              <w:br/>
            </w:r>
            <w:r>
              <w:rPr>
                <w:rFonts w:ascii="Times New Roman"/>
                <w:b w:val="false"/>
                <w:i w:val="false"/>
                <w:color w:val="000000"/>
                <w:sz w:val="20"/>
              </w:rPr>
              <w:t>
Пункт установки</w:t>
            </w:r>
          </w:p>
          <w:bookmarkEnd w:id="161"/>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2"/>
          <w:p>
            <w:pPr>
              <w:spacing w:after="20"/>
              <w:ind w:left="20"/>
              <w:jc w:val="both"/>
            </w:pPr>
            <w:r>
              <w:rPr>
                <w:rFonts w:ascii="Times New Roman"/>
                <w:b w:val="false"/>
                <w:i w:val="false"/>
                <w:color w:val="000000"/>
                <w:sz w:val="20"/>
              </w:rPr>
              <w:t>
Жабдық түрі</w:t>
            </w:r>
            <w:r>
              <w:br/>
            </w:r>
            <w:r>
              <w:rPr>
                <w:rFonts w:ascii="Times New Roman"/>
                <w:b w:val="false"/>
                <w:i w:val="false"/>
                <w:color w:val="000000"/>
                <w:sz w:val="20"/>
              </w:rPr>
              <w:t>
Вид оборудования</w:t>
            </w:r>
          </w:p>
          <w:bookmarkEnd w:id="162"/>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3"/>
          <w:p>
            <w:pPr>
              <w:spacing w:after="20"/>
              <w:ind w:left="20"/>
              <w:jc w:val="both"/>
            </w:pPr>
            <w:r>
              <w:rPr>
                <w:rFonts w:ascii="Times New Roman"/>
                <w:b w:val="false"/>
                <w:i w:val="false"/>
                <w:color w:val="000000"/>
                <w:sz w:val="20"/>
              </w:rPr>
              <w:t>
Тасымалдау жиіліктері</w:t>
            </w:r>
            <w:r>
              <w:br/>
            </w:r>
            <w:r>
              <w:rPr>
                <w:rFonts w:ascii="Times New Roman"/>
                <w:b w:val="false"/>
                <w:i w:val="false"/>
                <w:color w:val="000000"/>
                <w:sz w:val="20"/>
              </w:rPr>
              <w:t>
Несущие частоты, МГц</w:t>
            </w:r>
          </w:p>
          <w:bookmarkEnd w:id="163"/>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4"/>
          <w:p>
            <w:pPr>
              <w:spacing w:after="20"/>
              <w:ind w:left="20"/>
              <w:jc w:val="both"/>
            </w:pPr>
            <w:r>
              <w:rPr>
                <w:rFonts w:ascii="Times New Roman"/>
                <w:b w:val="false"/>
                <w:i w:val="false"/>
                <w:color w:val="000000"/>
                <w:sz w:val="20"/>
              </w:rPr>
              <w:t>
Қуат</w:t>
            </w:r>
            <w:r>
              <w:br/>
            </w:r>
            <w:r>
              <w:rPr>
                <w:rFonts w:ascii="Times New Roman"/>
                <w:b w:val="false"/>
                <w:i w:val="false"/>
                <w:color w:val="000000"/>
                <w:sz w:val="20"/>
              </w:rPr>
              <w:t>
Мощность Вт</w:t>
            </w:r>
          </w:p>
          <w:bookmarkEnd w:id="164"/>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5"/>
          <w:p>
            <w:pPr>
              <w:spacing w:after="20"/>
              <w:ind w:left="20"/>
              <w:jc w:val="both"/>
            </w:pPr>
            <w:r>
              <w:rPr>
                <w:rFonts w:ascii="Times New Roman"/>
                <w:b w:val="false"/>
                <w:i w:val="false"/>
                <w:color w:val="000000"/>
                <w:sz w:val="20"/>
              </w:rPr>
              <w:t>
Антеннаның іліну биіктігі</w:t>
            </w:r>
            <w:r>
              <w:br/>
            </w:r>
            <w:r>
              <w:rPr>
                <w:rFonts w:ascii="Times New Roman"/>
                <w:b w:val="false"/>
                <w:i w:val="false"/>
                <w:color w:val="000000"/>
                <w:sz w:val="20"/>
              </w:rPr>
              <w:t>
Высота подвеса антенны, м</w:t>
            </w:r>
          </w:p>
          <w:bookmarkEnd w:id="165"/>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6"/>
          <w:p>
            <w:pPr>
              <w:spacing w:after="20"/>
              <w:ind w:left="20"/>
              <w:jc w:val="both"/>
            </w:pPr>
            <w:r>
              <w:rPr>
                <w:rFonts w:ascii="Times New Roman"/>
                <w:b w:val="false"/>
                <w:i w:val="false"/>
                <w:color w:val="000000"/>
                <w:sz w:val="20"/>
              </w:rPr>
              <w:t>
Ескертулер</w:t>
            </w:r>
            <w:r>
              <w:br/>
            </w:r>
            <w:r>
              <w:rPr>
                <w:rFonts w:ascii="Times New Roman"/>
                <w:b w:val="false"/>
                <w:i w:val="false"/>
                <w:color w:val="000000"/>
                <w:sz w:val="20"/>
              </w:rPr>
              <w:t>
Примечание</w:t>
            </w:r>
          </w:p>
          <w:bookmarkEnd w:id="166"/>
        </w:tc>
      </w:tr>
    </w:tbl>
    <w:bookmarkStart w:name="z188" w:id="167"/>
    <w:p>
      <w:pPr>
        <w:spacing w:after="0"/>
        <w:ind w:left="0"/>
        <w:jc w:val="both"/>
      </w:pPr>
      <w:r>
        <w:rPr>
          <w:rFonts w:ascii="Times New Roman"/>
          <w:b w:val="false"/>
          <w:i w:val="false"/>
          <w:color w:val="000000"/>
          <w:sz w:val="28"/>
        </w:rPr>
        <w:t>
      Рұқсаттың қолданылу мерзімі: жыл сайынғы төлем төленген жағдайда, келесі күнтізбелік жылға ұзартылады, РЖС рұқсат бергені үшін алым төленгенді қоспағанда.</w:t>
      </w:r>
    </w:p>
    <w:bookmarkEnd w:id="167"/>
    <w:bookmarkStart w:name="z189" w:id="168"/>
    <w:p>
      <w:pPr>
        <w:spacing w:after="0"/>
        <w:ind w:left="0"/>
        <w:jc w:val="both"/>
      </w:pPr>
      <w:r>
        <w:rPr>
          <w:rFonts w:ascii="Times New Roman"/>
          <w:b w:val="false"/>
          <w:i w:val="false"/>
          <w:color w:val="000000"/>
          <w:sz w:val="28"/>
        </w:rPr>
        <w:t>
      Срок действия разрешения: продлевается на следующий год при ежегодной оплаты, за исключением случаев, когда оплачивается сбор за выдачу разрешение на РЧС.</w:t>
      </w:r>
    </w:p>
    <w:bookmarkEnd w:id="168"/>
    <w:bookmarkStart w:name="z190" w:id="169"/>
    <w:p>
      <w:pPr>
        <w:spacing w:after="0"/>
        <w:ind w:left="0"/>
        <w:jc w:val="both"/>
      </w:pPr>
      <w:r>
        <w:rPr>
          <w:rFonts w:ascii="Times New Roman"/>
          <w:b w:val="false"/>
          <w:i w:val="false"/>
          <w:color w:val="000000"/>
          <w:sz w:val="28"/>
        </w:rPr>
        <w:t>
      Берілген күні: 20___жылғы "__" __________________</w:t>
      </w:r>
    </w:p>
    <w:bookmarkEnd w:id="169"/>
    <w:bookmarkStart w:name="z191" w:id="170"/>
    <w:p>
      <w:pPr>
        <w:spacing w:after="0"/>
        <w:ind w:left="0"/>
        <w:jc w:val="both"/>
      </w:pPr>
      <w:r>
        <w:rPr>
          <w:rFonts w:ascii="Times New Roman"/>
          <w:b w:val="false"/>
          <w:i w:val="false"/>
          <w:color w:val="000000"/>
          <w:sz w:val="28"/>
        </w:rPr>
        <w:t>
      Дата выдачи: "____"__________________ 20___года</w:t>
      </w:r>
    </w:p>
    <w:bookmarkEnd w:id="170"/>
    <w:bookmarkStart w:name="z192" w:id="171"/>
    <w:p>
      <w:pPr>
        <w:spacing w:after="0"/>
        <w:ind w:left="0"/>
        <w:jc w:val="both"/>
      </w:pPr>
      <w:r>
        <w:rPr>
          <w:rFonts w:ascii="Times New Roman"/>
          <w:b w:val="false"/>
          <w:i w:val="false"/>
          <w:color w:val="000000"/>
          <w:sz w:val="28"/>
        </w:rPr>
        <w:t>
      Басшы Тегі, аты, әкесінің аты (бар болған жағдайда).</w:t>
      </w:r>
    </w:p>
    <w:bookmarkEnd w:id="171"/>
    <w:bookmarkStart w:name="z193" w:id="172"/>
    <w:p>
      <w:pPr>
        <w:spacing w:after="0"/>
        <w:ind w:left="0"/>
        <w:jc w:val="both"/>
      </w:pPr>
      <w:r>
        <w:rPr>
          <w:rFonts w:ascii="Times New Roman"/>
          <w:b w:val="false"/>
          <w:i w:val="false"/>
          <w:color w:val="000000"/>
          <w:sz w:val="28"/>
        </w:rPr>
        <w:t>
      Руководитель _____________фамилия, имя, отчество (при его наличии). (қолы/ подпись)</w:t>
      </w:r>
    </w:p>
    <w:bookmarkEnd w:id="172"/>
    <w:bookmarkStart w:name="z194" w:id="173"/>
    <w:p>
      <w:pPr>
        <w:spacing w:after="0"/>
        <w:ind w:left="0"/>
        <w:jc w:val="both"/>
      </w:pPr>
      <w:r>
        <w:rPr>
          <w:rFonts w:ascii="Times New Roman"/>
          <w:b w:val="false"/>
          <w:i w:val="false"/>
          <w:color w:val="000000"/>
          <w:sz w:val="28"/>
        </w:rPr>
        <w:t>
      (оборотная сторона)</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4"/>
          <w:p>
            <w:pPr>
              <w:spacing w:after="20"/>
              <w:ind w:left="20"/>
              <w:jc w:val="both"/>
            </w:pPr>
            <w:r>
              <w:rPr>
                <w:rFonts w:ascii="Times New Roman"/>
                <w:b w:val="false"/>
                <w:i w:val="false"/>
                <w:color w:val="000000"/>
                <w:sz w:val="20"/>
              </w:rPr>
              <w:t>
ӨБЖН</w:t>
            </w:r>
            <w:r>
              <w:br/>
            </w:r>
            <w:r>
              <w:rPr>
                <w:rFonts w:ascii="Times New Roman"/>
                <w:b w:val="false"/>
                <w:i w:val="false"/>
                <w:color w:val="000000"/>
                <w:sz w:val="20"/>
              </w:rPr>
              <w:t>
УИНЗ</w:t>
            </w:r>
          </w:p>
          <w:bookmarkEnd w:id="174"/>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5"/>
          <w:p>
            <w:pPr>
              <w:spacing w:after="20"/>
              <w:ind w:left="20"/>
              <w:jc w:val="both"/>
            </w:pPr>
            <w:r>
              <w:rPr>
                <w:rFonts w:ascii="Times New Roman"/>
                <w:b w:val="false"/>
                <w:i w:val="false"/>
                <w:color w:val="000000"/>
                <w:sz w:val="20"/>
              </w:rPr>
              <w:t xml:space="preserve">
Негіз </w:t>
            </w:r>
            <w:r>
              <w:br/>
            </w:r>
            <w:r>
              <w:rPr>
                <w:rFonts w:ascii="Times New Roman"/>
                <w:b w:val="false"/>
                <w:i w:val="false"/>
                <w:color w:val="000000"/>
                <w:sz w:val="20"/>
              </w:rPr>
              <w:t xml:space="preserve">
Основание </w:t>
            </w:r>
          </w:p>
          <w:bookmarkEnd w:id="175"/>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6"/>
          <w:p>
            <w:pPr>
              <w:spacing w:after="20"/>
              <w:ind w:left="20"/>
              <w:jc w:val="both"/>
            </w:pPr>
            <w:r>
              <w:rPr>
                <w:rFonts w:ascii="Times New Roman"/>
                <w:b w:val="false"/>
                <w:i w:val="false"/>
                <w:color w:val="000000"/>
                <w:sz w:val="20"/>
              </w:rPr>
              <w:t xml:space="preserve">
Қосымша ақпарат </w:t>
            </w:r>
            <w:r>
              <w:br/>
            </w:r>
            <w:r>
              <w:rPr>
                <w:rFonts w:ascii="Times New Roman"/>
                <w:b w:val="false"/>
                <w:i w:val="false"/>
                <w:color w:val="000000"/>
                <w:sz w:val="20"/>
              </w:rPr>
              <w:t>
Дополнительная информаци</w:t>
            </w:r>
          </w:p>
          <w:bookmarkEnd w:id="176"/>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177"/>
    <w:p>
      <w:pPr>
        <w:spacing w:after="0"/>
        <w:ind w:left="0"/>
        <w:jc w:val="both"/>
      </w:pPr>
      <w:r>
        <w:rPr>
          <w:rFonts w:ascii="Times New Roman"/>
          <w:b w:val="false"/>
          <w:i w:val="false"/>
          <w:color w:val="000000"/>
          <w:sz w:val="28"/>
        </w:rPr>
        <w:t>
      Рұқсаттың қолданылу шарттары:</w:t>
      </w:r>
    </w:p>
    <w:bookmarkEnd w:id="177"/>
    <w:bookmarkStart w:name="z199" w:id="178"/>
    <w:p>
      <w:pPr>
        <w:spacing w:after="0"/>
        <w:ind w:left="0"/>
        <w:jc w:val="both"/>
      </w:pPr>
      <w:r>
        <w:rPr>
          <w:rFonts w:ascii="Times New Roman"/>
          <w:b w:val="false"/>
          <w:i w:val="false"/>
          <w:color w:val="000000"/>
          <w:sz w:val="28"/>
        </w:rPr>
        <w:t xml:space="preserve">
      1. РЖС пайдалану рұқсаты Салық кодексіне сәйкес РЖС пайдаланғаны үшін жылдық төлемді төлеген жағдайда қолданыста болады. </w:t>
      </w:r>
    </w:p>
    <w:bookmarkEnd w:id="178"/>
    <w:bookmarkStart w:name="z200" w:id="179"/>
    <w:p>
      <w:pPr>
        <w:spacing w:after="0"/>
        <w:ind w:left="0"/>
        <w:jc w:val="both"/>
      </w:pPr>
      <w:r>
        <w:rPr>
          <w:rFonts w:ascii="Times New Roman"/>
          <w:b w:val="false"/>
          <w:i w:val="false"/>
          <w:color w:val="000000"/>
          <w:sz w:val="28"/>
        </w:rPr>
        <w:t>
      2. РЖС рұқсаты Портал арқылы мемлекеттік бюджетке РЖС пайдаланғаны үшін жылдық төлемнің төленгенін растайтын құжатты тең бөліктермен ағымдағы жылдың 25 наурызы, 25 маусымы, 25 қыркүйегі мен 25 желтоқсанына дейін РЖС пайдаланушымен қоса ұсынған жағдайда келесі жылға автоматты түрде ұзартылады.</w:t>
      </w:r>
    </w:p>
    <w:bookmarkEnd w:id="179"/>
    <w:bookmarkStart w:name="z201" w:id="180"/>
    <w:p>
      <w:pPr>
        <w:spacing w:after="0"/>
        <w:ind w:left="0"/>
        <w:jc w:val="both"/>
      </w:pPr>
      <w:r>
        <w:rPr>
          <w:rFonts w:ascii="Times New Roman"/>
          <w:b w:val="false"/>
          <w:i w:val="false"/>
          <w:color w:val="000000"/>
          <w:sz w:val="28"/>
        </w:rPr>
        <w:t>
      3. Аналогті сигнал арқылы қызметті жүзеге асыратын теле,-радио компаниялары, телерадио хабар тарататын операторлар, мемлекеттік бюджетке РЖС рұқсатын алуға алымды енгізеді және хабарлама негізінде Салық кодексіне сәйкес мемлекеттік бюджетке төленгенін растайтын құжатты РЖС пайдалану орны бойынша аумақты бөлімшеге ұсынады.</w:t>
      </w:r>
    </w:p>
    <w:bookmarkEnd w:id="180"/>
    <w:bookmarkStart w:name="z202" w:id="181"/>
    <w:p>
      <w:pPr>
        <w:spacing w:after="0"/>
        <w:ind w:left="0"/>
        <w:jc w:val="both"/>
      </w:pPr>
      <w:r>
        <w:rPr>
          <w:rFonts w:ascii="Times New Roman"/>
          <w:b w:val="false"/>
          <w:i w:val="false"/>
          <w:color w:val="000000"/>
          <w:sz w:val="28"/>
        </w:rPr>
        <w:t>
      4. РЖС рұқсаты:</w:t>
      </w:r>
    </w:p>
    <w:bookmarkEnd w:id="181"/>
    <w:bookmarkStart w:name="z203" w:id="182"/>
    <w:p>
      <w:pPr>
        <w:spacing w:after="0"/>
        <w:ind w:left="0"/>
        <w:jc w:val="both"/>
      </w:pPr>
      <w:r>
        <w:rPr>
          <w:rFonts w:ascii="Times New Roman"/>
          <w:b w:val="false"/>
          <w:i w:val="false"/>
          <w:color w:val="000000"/>
          <w:sz w:val="28"/>
        </w:rPr>
        <w:t>
      1) РЭҚ және ЖЖҚ пайдаланудың басталғаны туралы хабарламаның болмаған және Қазақстан Республикасының заңнамасымен белгіленген тәртіпте аумақтық бөлімшелер жүргізетін радиожиілік спектрі мониторингінің нәтижелерімен расталатын радиожиілік белдеулерін (номиналдарын) жыл бойы пайдаланбаған;</w:t>
      </w:r>
    </w:p>
    <w:bookmarkEnd w:id="182"/>
    <w:bookmarkStart w:name="z204" w:id="183"/>
    <w:p>
      <w:pPr>
        <w:spacing w:after="0"/>
        <w:ind w:left="0"/>
        <w:jc w:val="both"/>
      </w:pPr>
      <w:r>
        <w:rPr>
          <w:rFonts w:ascii="Times New Roman"/>
          <w:b w:val="false"/>
          <w:i w:val="false"/>
          <w:color w:val="000000"/>
          <w:sz w:val="28"/>
        </w:rPr>
        <w:t>
      2) ұялы байланыс операторы РЖС рұқсатында көрсетілген елді мекендерді және (немесе) аумақтарды байланыс қызметтерімен қамтамасыз ету бойынша міндеттемелерді орындамаған жағдайларда қайтарып алынады.</w:t>
      </w:r>
    </w:p>
    <w:bookmarkEnd w:id="183"/>
    <w:bookmarkStart w:name="z205" w:id="184"/>
    <w:p>
      <w:pPr>
        <w:spacing w:after="0"/>
        <w:ind w:left="0"/>
        <w:jc w:val="both"/>
      </w:pPr>
      <w:r>
        <w:rPr>
          <w:rFonts w:ascii="Times New Roman"/>
          <w:b w:val="false"/>
          <w:i w:val="false"/>
          <w:color w:val="000000"/>
          <w:sz w:val="28"/>
        </w:rPr>
        <w:t>
      5. РЭҚ жәнеғ ЖЖҚ иелері "Байланыс туралы" Қазақстан Республикасының 2004 жылғы 5 шілдедегі Заңының 28-7 бабында көрсетілген талаптарды сақтауға міндетті.</w:t>
      </w:r>
    </w:p>
    <w:bookmarkEnd w:id="184"/>
    <w:bookmarkStart w:name="z206" w:id="185"/>
    <w:p>
      <w:pPr>
        <w:spacing w:after="0"/>
        <w:ind w:left="0"/>
        <w:jc w:val="both"/>
      </w:pPr>
      <w:r>
        <w:rPr>
          <w:rFonts w:ascii="Times New Roman"/>
          <w:b w:val="false"/>
          <w:i w:val="false"/>
          <w:color w:val="000000"/>
          <w:sz w:val="28"/>
        </w:rPr>
        <w:t>
      Условия действия разрешения:</w:t>
      </w:r>
    </w:p>
    <w:bookmarkEnd w:id="185"/>
    <w:bookmarkStart w:name="z207" w:id="186"/>
    <w:p>
      <w:pPr>
        <w:spacing w:after="0"/>
        <w:ind w:left="0"/>
        <w:jc w:val="both"/>
      </w:pPr>
      <w:r>
        <w:rPr>
          <w:rFonts w:ascii="Times New Roman"/>
          <w:b w:val="false"/>
          <w:i w:val="false"/>
          <w:color w:val="000000"/>
          <w:sz w:val="28"/>
        </w:rPr>
        <w:t>
      1. Разрешение на РЧС действует при условии ежегодной уплаты за использование РЧС в соответствии с Налоговым кодексом.</w:t>
      </w:r>
    </w:p>
    <w:bookmarkEnd w:id="186"/>
    <w:bookmarkStart w:name="z208" w:id="187"/>
    <w:p>
      <w:pPr>
        <w:spacing w:after="0"/>
        <w:ind w:left="0"/>
        <w:jc w:val="both"/>
      </w:pPr>
      <w:r>
        <w:rPr>
          <w:rFonts w:ascii="Times New Roman"/>
          <w:b w:val="false"/>
          <w:i w:val="false"/>
          <w:color w:val="000000"/>
          <w:sz w:val="28"/>
        </w:rPr>
        <w:t>
      2. Разрешение на РЧС продлевается автоматически на следующий год посредством Портала, при прикреплении пользователем РЧС подтверждающего документа об уплате в государственный бюджет годовой платы за использование РЧС равными долями не позднее 25 марта, 25 июня, 25 сентября и 25 декабря текущего года. 3. Теле-,радио компании, операторы телерадиовещания, осуществляющие деятельность посредством аналогового сигнала, вносят в государственный бюджет cбор за выдачу Разрешения на РЧС и на основании уведомления предоставляют в территориальное подразделение по месту использования РЧС документ, подтверждающий уплату в государственный бюджет в соответствии Налоговым кодексом.</w:t>
      </w:r>
    </w:p>
    <w:bookmarkEnd w:id="187"/>
    <w:bookmarkStart w:name="z209" w:id="188"/>
    <w:p>
      <w:pPr>
        <w:spacing w:after="0"/>
        <w:ind w:left="0"/>
        <w:jc w:val="both"/>
      </w:pPr>
      <w:r>
        <w:rPr>
          <w:rFonts w:ascii="Times New Roman"/>
          <w:b w:val="false"/>
          <w:i w:val="false"/>
          <w:color w:val="000000"/>
          <w:sz w:val="28"/>
        </w:rPr>
        <w:t>
      4. Разрешение на РЧС изымается, в случаях:</w:t>
      </w:r>
    </w:p>
    <w:bookmarkEnd w:id="188"/>
    <w:bookmarkStart w:name="z210" w:id="189"/>
    <w:p>
      <w:pPr>
        <w:spacing w:after="0"/>
        <w:ind w:left="0"/>
        <w:jc w:val="both"/>
      </w:pPr>
      <w:r>
        <w:rPr>
          <w:rFonts w:ascii="Times New Roman"/>
          <w:b w:val="false"/>
          <w:i w:val="false"/>
          <w:color w:val="000000"/>
          <w:sz w:val="28"/>
        </w:rPr>
        <w:t>
      1) отсутствия уведомления о начале эксплуатации РЭС и ВЧУ и неиспользования полос (номиналов) радиочастот в течение года, которое подтверждается результатами мониторинга радиочастотного спектра проводимого территориальным подразделением в порядке установленным законодательством Республики Казахстан;</w:t>
      </w:r>
    </w:p>
    <w:bookmarkEnd w:id="189"/>
    <w:bookmarkStart w:name="z211" w:id="190"/>
    <w:p>
      <w:pPr>
        <w:spacing w:after="0"/>
        <w:ind w:left="0"/>
        <w:jc w:val="both"/>
      </w:pPr>
      <w:r>
        <w:rPr>
          <w:rFonts w:ascii="Times New Roman"/>
          <w:b w:val="false"/>
          <w:i w:val="false"/>
          <w:color w:val="000000"/>
          <w:sz w:val="28"/>
        </w:rPr>
        <w:t>
      2) невыполнения операторам сотовой связи обязательств по обеспечению услугами связи населенных пунктов и (или) территорий, указанных в разрешении на РЧС.</w:t>
      </w:r>
    </w:p>
    <w:bookmarkEnd w:id="190"/>
    <w:bookmarkStart w:name="z212" w:id="191"/>
    <w:p>
      <w:pPr>
        <w:spacing w:after="0"/>
        <w:ind w:left="0"/>
        <w:jc w:val="both"/>
      </w:pPr>
      <w:r>
        <w:rPr>
          <w:rFonts w:ascii="Times New Roman"/>
          <w:b w:val="false"/>
          <w:i w:val="false"/>
          <w:color w:val="000000"/>
          <w:sz w:val="28"/>
        </w:rPr>
        <w:t>
      5. Владельцы РЭС и ВЧУ обязаны соблюдать требования, указанные в статье 28-7 Закона Республики Казахстан от 5 июля 2004 года "О связи".</w:t>
      </w:r>
    </w:p>
    <w:bookmarkEnd w:id="191"/>
    <w:bookmarkStart w:name="z213" w:id="192"/>
    <w:p>
      <w:pPr>
        <w:spacing w:after="0"/>
        <w:ind w:left="0"/>
        <w:jc w:val="both"/>
      </w:pPr>
      <w:r>
        <w:rPr>
          <w:rFonts w:ascii="Times New Roman"/>
          <w:b w:val="false"/>
          <w:i w:val="false"/>
          <w:color w:val="000000"/>
          <w:sz w:val="28"/>
        </w:rPr>
        <w:t>
      Аумақты немесе қалалық және ауылдық елді мекендерді байланыс қызметімен, оның ішінде кеңжолақты интеренетке қол жеткізуді қамтамасыз ету бойынша міндеттемелер</w:t>
      </w:r>
    </w:p>
    <w:bookmarkEnd w:id="192"/>
    <w:bookmarkStart w:name="z214" w:id="193"/>
    <w:p>
      <w:pPr>
        <w:spacing w:after="0"/>
        <w:ind w:left="0"/>
        <w:jc w:val="both"/>
      </w:pPr>
      <w:r>
        <w:rPr>
          <w:rFonts w:ascii="Times New Roman"/>
          <w:b w:val="false"/>
          <w:i w:val="false"/>
          <w:color w:val="000000"/>
          <w:sz w:val="28"/>
        </w:rPr>
        <w:t>
      Обязательства по обеспечению услугами связи, в том числе широкополосного доступа в интернет на территории либо в городских и сельских населенных пунктах</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6696"/>
        <w:gridCol w:w="2803"/>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п/п</w:t>
            </w:r>
          </w:p>
          <w:bookmarkEnd w:id="194"/>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5"/>
          <w:p>
            <w:pPr>
              <w:spacing w:after="20"/>
              <w:ind w:left="20"/>
              <w:jc w:val="both"/>
            </w:pPr>
            <w:r>
              <w:rPr>
                <w:rFonts w:ascii="Times New Roman"/>
                <w:b w:val="false"/>
                <w:i w:val="false"/>
                <w:color w:val="000000"/>
                <w:sz w:val="20"/>
              </w:rPr>
              <w:t>
Аумақ, немесе қалалық және ауылдық елді мекендер</w:t>
            </w:r>
            <w:r>
              <w:br/>
            </w:r>
            <w:r>
              <w:rPr>
                <w:rFonts w:ascii="Times New Roman"/>
                <w:b w:val="false"/>
                <w:i w:val="false"/>
                <w:color w:val="000000"/>
                <w:sz w:val="20"/>
              </w:rPr>
              <w:t>
Территория, либо городские и сельские населенные пункты</w:t>
            </w:r>
          </w:p>
          <w:bookmarkEnd w:id="195"/>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6"/>
          <w:p>
            <w:pPr>
              <w:spacing w:after="20"/>
              <w:ind w:left="20"/>
              <w:jc w:val="both"/>
            </w:pPr>
            <w:r>
              <w:rPr>
                <w:rFonts w:ascii="Times New Roman"/>
                <w:b w:val="false"/>
                <w:i w:val="false"/>
                <w:color w:val="000000"/>
                <w:sz w:val="20"/>
              </w:rPr>
              <w:t>
Мерзімі</w:t>
            </w:r>
            <w:r>
              <w:br/>
            </w:r>
            <w:r>
              <w:rPr>
                <w:rFonts w:ascii="Times New Roman"/>
                <w:b w:val="false"/>
                <w:i w:val="false"/>
                <w:color w:val="000000"/>
                <w:sz w:val="20"/>
              </w:rPr>
              <w:t>
Сроки</w:t>
            </w:r>
          </w:p>
          <w:bookmarkEnd w:id="196"/>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115/НҚ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bookmarkStart w:name="z220" w:id="197"/>
    <w:p>
      <w:pPr>
        <w:spacing w:after="0"/>
        <w:ind w:left="0"/>
        <w:jc w:val="left"/>
      </w:pPr>
      <w:r>
        <w:rPr>
          <w:rFonts w:ascii="Times New Roman"/>
          <w:b/>
          <w:i w:val="false"/>
          <w:color w:val="000000"/>
        </w:rPr>
        <w:t xml:space="preserve"> Коды по видам связи</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1578"/>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кода</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связи</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Эфирное аналоговое телевидение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Эфирно-кабельное телевидение (MMDS)</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Радиовещание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связь/мобильная связь (GSM/DCS. CDMA, 3G/UMTS, 4G/LTE. 5G/IMT)</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Транкинговая</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Радиотелефонная</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(стационарные радиостанции)</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КВ-диапазона</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(подвижные радиостанции)</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Радиорелейная связь (магистральные линии)</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Радиорелейная связь (зоновые линии)</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Радиорелейная связь (местные линии)</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Радиорелейная связь (линии для передачи телевизионных сигналов)</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(земные станции, используемые для связи и радиовещания)</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(земные станции, используемые для управления космическими аппаратами)</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при использовании ШПС-технологии (WLL)</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(УКВ-диапазона)</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Эфирное цифровое телевидение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связь четвертого поколения (LTE для внутрипроизводственных целей)</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СВ-диапазона</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радиосвязь (береговые, радиолокационные станции, радиомаяки и т.п.)</w:t>
            </w:r>
          </w:p>
        </w:tc>
      </w:tr>
    </w:tbl>
    <w:bookmarkStart w:name="z221" w:id="198"/>
    <w:p>
      <w:pPr>
        <w:spacing w:after="0"/>
        <w:ind w:left="0"/>
        <w:jc w:val="left"/>
      </w:pPr>
      <w:r>
        <w:rPr>
          <w:rFonts w:ascii="Times New Roman"/>
          <w:b/>
          <w:i w:val="false"/>
          <w:color w:val="000000"/>
        </w:rPr>
        <w:t xml:space="preserve"> Коды в системе обозначений объектов административно-территориального деления Республики Казахстан</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4"/>
        <w:gridCol w:w="4196"/>
      </w:tblGrid>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кода</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Мангыстауская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r>
    </w:tbl>
    <w:bookmarkStart w:name="z222" w:id="199"/>
    <w:p>
      <w:pPr>
        <w:spacing w:after="0"/>
        <w:ind w:left="0"/>
        <w:jc w:val="both"/>
      </w:pPr>
      <w:r>
        <w:rPr>
          <w:rFonts w:ascii="Times New Roman"/>
          <w:b w:val="false"/>
          <w:i w:val="false"/>
          <w:color w:val="000000"/>
          <w:sz w:val="28"/>
        </w:rPr>
        <w:t>
      CDMA–Code Division Multiple Access (Множественный доступ с кодовым разделением);</w:t>
      </w:r>
    </w:p>
    <w:bookmarkEnd w:id="199"/>
    <w:bookmarkStart w:name="z223" w:id="200"/>
    <w:p>
      <w:pPr>
        <w:spacing w:after="0"/>
        <w:ind w:left="0"/>
        <w:jc w:val="both"/>
      </w:pPr>
      <w:r>
        <w:rPr>
          <w:rFonts w:ascii="Times New Roman"/>
          <w:b w:val="false"/>
          <w:i w:val="false"/>
          <w:color w:val="000000"/>
          <w:sz w:val="28"/>
        </w:rPr>
        <w:t>
      GSM – Global System for Mobile Communications (Глобальнаясистемамобильнойсвязи);</w:t>
      </w:r>
    </w:p>
    <w:bookmarkEnd w:id="200"/>
    <w:bookmarkStart w:name="z224" w:id="201"/>
    <w:p>
      <w:pPr>
        <w:spacing w:after="0"/>
        <w:ind w:left="0"/>
        <w:jc w:val="both"/>
      </w:pPr>
      <w:r>
        <w:rPr>
          <w:rFonts w:ascii="Times New Roman"/>
          <w:b w:val="false"/>
          <w:i w:val="false"/>
          <w:color w:val="000000"/>
          <w:sz w:val="28"/>
        </w:rPr>
        <w:t>
      LTE – Long Term Evolution (Долгосрочное развитие);</w:t>
      </w:r>
    </w:p>
    <w:bookmarkEnd w:id="201"/>
    <w:bookmarkStart w:name="z225" w:id="202"/>
    <w:p>
      <w:pPr>
        <w:spacing w:after="0"/>
        <w:ind w:left="0"/>
        <w:jc w:val="both"/>
      </w:pPr>
      <w:r>
        <w:rPr>
          <w:rFonts w:ascii="Times New Roman"/>
          <w:b w:val="false"/>
          <w:i w:val="false"/>
          <w:color w:val="000000"/>
          <w:sz w:val="28"/>
        </w:rPr>
        <w:t>
      MMDS – Multichannel Multipoint Distribution System (Многоканальнаямноготочечная</w:t>
      </w:r>
    </w:p>
    <w:bookmarkEnd w:id="202"/>
    <w:bookmarkStart w:name="z226" w:id="203"/>
    <w:p>
      <w:pPr>
        <w:spacing w:after="0"/>
        <w:ind w:left="0"/>
        <w:jc w:val="both"/>
      </w:pPr>
      <w:r>
        <w:rPr>
          <w:rFonts w:ascii="Times New Roman"/>
          <w:b w:val="false"/>
          <w:i w:val="false"/>
          <w:color w:val="000000"/>
          <w:sz w:val="28"/>
        </w:rPr>
        <w:t>
      распределительная система);</w:t>
      </w:r>
    </w:p>
    <w:bookmarkEnd w:id="203"/>
    <w:bookmarkStart w:name="z227" w:id="204"/>
    <w:p>
      <w:pPr>
        <w:spacing w:after="0"/>
        <w:ind w:left="0"/>
        <w:jc w:val="both"/>
      </w:pPr>
      <w:r>
        <w:rPr>
          <w:rFonts w:ascii="Times New Roman"/>
          <w:b w:val="false"/>
          <w:i w:val="false"/>
          <w:color w:val="000000"/>
          <w:sz w:val="28"/>
        </w:rPr>
        <w:t>
      UMTS – Universal Mobile Telecommunications System (Универсальная мобильная телекоммуникационная система);</w:t>
      </w:r>
    </w:p>
    <w:bookmarkEnd w:id="204"/>
    <w:bookmarkStart w:name="z228" w:id="205"/>
    <w:p>
      <w:pPr>
        <w:spacing w:after="0"/>
        <w:ind w:left="0"/>
        <w:jc w:val="both"/>
      </w:pPr>
      <w:r>
        <w:rPr>
          <w:rFonts w:ascii="Times New Roman"/>
          <w:b w:val="false"/>
          <w:i w:val="false"/>
          <w:color w:val="000000"/>
          <w:sz w:val="28"/>
        </w:rPr>
        <w:t>
      WLL – Wireless Local Loop (Система беспроводного радиодоступа);</w:t>
      </w:r>
    </w:p>
    <w:bookmarkEnd w:id="205"/>
    <w:bookmarkStart w:name="z229" w:id="206"/>
    <w:p>
      <w:pPr>
        <w:spacing w:after="0"/>
        <w:ind w:left="0"/>
        <w:jc w:val="both"/>
      </w:pPr>
      <w:r>
        <w:rPr>
          <w:rFonts w:ascii="Times New Roman"/>
          <w:b w:val="false"/>
          <w:i w:val="false"/>
          <w:color w:val="000000"/>
          <w:sz w:val="28"/>
        </w:rPr>
        <w:t>
      КВ – короткие волны;</w:t>
      </w:r>
    </w:p>
    <w:bookmarkEnd w:id="206"/>
    <w:bookmarkStart w:name="z230" w:id="207"/>
    <w:p>
      <w:pPr>
        <w:spacing w:after="0"/>
        <w:ind w:left="0"/>
        <w:jc w:val="both"/>
      </w:pPr>
      <w:r>
        <w:rPr>
          <w:rFonts w:ascii="Times New Roman"/>
          <w:b w:val="false"/>
          <w:i w:val="false"/>
          <w:color w:val="000000"/>
          <w:sz w:val="28"/>
        </w:rPr>
        <w:t>
      СВ – средние волны;</w:t>
      </w:r>
    </w:p>
    <w:bookmarkEnd w:id="207"/>
    <w:bookmarkStart w:name="z231" w:id="208"/>
    <w:p>
      <w:pPr>
        <w:spacing w:after="0"/>
        <w:ind w:left="0"/>
        <w:jc w:val="both"/>
      </w:pPr>
      <w:r>
        <w:rPr>
          <w:rFonts w:ascii="Times New Roman"/>
          <w:b w:val="false"/>
          <w:i w:val="false"/>
          <w:color w:val="000000"/>
          <w:sz w:val="28"/>
        </w:rPr>
        <w:t>
      УКВ – ультра-короткие волны;</w:t>
      </w:r>
    </w:p>
    <w:bookmarkEnd w:id="208"/>
    <w:bookmarkStart w:name="z232" w:id="209"/>
    <w:p>
      <w:pPr>
        <w:spacing w:after="0"/>
        <w:ind w:left="0"/>
        <w:jc w:val="both"/>
      </w:pPr>
      <w:r>
        <w:rPr>
          <w:rFonts w:ascii="Times New Roman"/>
          <w:b w:val="false"/>
          <w:i w:val="false"/>
          <w:color w:val="000000"/>
          <w:sz w:val="28"/>
        </w:rPr>
        <w:t>
      ШПС – широкополосный сигнал.</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