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f855" w14:textId="99cf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юстиции Республики Казахстан от 24 февраля 2015 года № 110 "Об утверждении Правил проведения систематической регистрации прав на недвижимое имущество в правовом кадастре"</w:t>
      </w:r>
    </w:p>
    <w:p>
      <w:pPr>
        <w:spacing w:after="0"/>
        <w:ind w:left="0"/>
        <w:jc w:val="both"/>
      </w:pPr>
      <w:r>
        <w:rPr>
          <w:rFonts w:ascii="Times New Roman"/>
          <w:b w:val="false"/>
          <w:i w:val="false"/>
          <w:color w:val="000000"/>
          <w:sz w:val="28"/>
        </w:rPr>
        <w:t>Приказ Министра юстиции Республики Казахстан от 29 марта 2021 года № 225. Зарегистрирован в Министерстве юстиции Республики Казахстан 31 марта 2021 года № 22442</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w:t>
      </w:r>
      <w:r>
        <w:rPr>
          <w:rFonts w:ascii="Times New Roman"/>
          <w:b w:val="false"/>
          <w:i w:val="false"/>
          <w:color w:val="000000"/>
          <w:sz w:val="28"/>
        </w:rPr>
        <w:t xml:space="preserve"> Закона Республики Казахстан от 26 июля 2007 года "О государственной регистрации прав на недвижимое имущество"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24 февраля 2015 года № 110 "Об утверждении Правил проведения систематической регистрации прав на недвижимое имущество в правовом кадастре" (зарегистрирован в Реестре государственной регистрации нормативных правовых актов под № 10539, опубликован 15 апреля 2015 года в Эталонном контрольном банке нормативных правовых актов Республики Казахстан в электронном виде),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систематической регистрации прав на недвижимое имущество в правовом кадастре утвержденным данным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"5. В настоящих Правилах используются следующие термины и определения:</w:t>
      </w:r>
    </w:p>
    <w:bookmarkEnd w:id="3"/>
    <w:bookmarkStart w:name="z9" w:id="4"/>
    <w:p>
      <w:pPr>
        <w:spacing w:after="0"/>
        <w:ind w:left="0"/>
        <w:jc w:val="both"/>
      </w:pPr>
      <w:r>
        <w:rPr>
          <w:rFonts w:ascii="Times New Roman"/>
          <w:b w:val="false"/>
          <w:i w:val="false"/>
          <w:color w:val="000000"/>
          <w:sz w:val="28"/>
        </w:rPr>
        <w:t>
      1) ранее возникшее право (обременение права) – право (обременение права) на недвижимое имущество, которое возникло до 1 марта 1996 года и действительно при условии его соответствия законодательству, действовавшему на момент возникновения соответствующего права;</w:t>
      </w:r>
    </w:p>
    <w:bookmarkEnd w:id="4"/>
    <w:bookmarkStart w:name="z10" w:id="5"/>
    <w:p>
      <w:pPr>
        <w:spacing w:after="0"/>
        <w:ind w:left="0"/>
        <w:jc w:val="both"/>
      </w:pPr>
      <w:r>
        <w:rPr>
          <w:rFonts w:ascii="Times New Roman"/>
          <w:b w:val="false"/>
          <w:i w:val="false"/>
          <w:color w:val="000000"/>
          <w:sz w:val="28"/>
        </w:rPr>
        <w:t>
      2) систематическая регистрация ранее возникших прав в правовом кадастре – учетная регистрация прав (обременении прав) на недвижимое имущество, которые возникли до введения системы государственной регистрации прав на недвижимое имущество и действительные, если они соответствуют законодательству, действовавшему в момент их возникновения;</w:t>
      </w:r>
    </w:p>
    <w:bookmarkEnd w:id="5"/>
    <w:bookmarkStart w:name="z11" w:id="6"/>
    <w:p>
      <w:pPr>
        <w:spacing w:after="0"/>
        <w:ind w:left="0"/>
        <w:jc w:val="both"/>
      </w:pPr>
      <w:r>
        <w:rPr>
          <w:rFonts w:ascii="Times New Roman"/>
          <w:b w:val="false"/>
          <w:i w:val="false"/>
          <w:color w:val="000000"/>
          <w:sz w:val="28"/>
        </w:rPr>
        <w:t>
      3) учетная регистрация – регистрация прав (обременении прав) на недвижимое имущество с целью учета прав (обременении прав) на недвижимое имущество, действительных без государственной регистрации в правовом кадастре, в том числе ранее возникших прав;</w:t>
      </w:r>
    </w:p>
    <w:bookmarkEnd w:id="6"/>
    <w:bookmarkStart w:name="z12" w:id="7"/>
    <w:p>
      <w:pPr>
        <w:spacing w:after="0"/>
        <w:ind w:left="0"/>
        <w:jc w:val="both"/>
      </w:pPr>
      <w:r>
        <w:rPr>
          <w:rFonts w:ascii="Times New Roman"/>
          <w:b w:val="false"/>
          <w:i w:val="false"/>
          <w:color w:val="000000"/>
          <w:sz w:val="28"/>
        </w:rPr>
        <w:t>
      4) недвижимое имущество (недвижимость) – земельные участки, здания, сооружения и иное имущество, прочно связанное с землей, то есть объекты, перемещение которых без несоразмерного ущерба их назначению невозможно;</w:t>
      </w:r>
    </w:p>
    <w:bookmarkEnd w:id="7"/>
    <w:bookmarkStart w:name="z13" w:id="8"/>
    <w:p>
      <w:pPr>
        <w:spacing w:after="0"/>
        <w:ind w:left="0"/>
        <w:jc w:val="both"/>
      </w:pPr>
      <w:r>
        <w:rPr>
          <w:rFonts w:ascii="Times New Roman"/>
          <w:b w:val="false"/>
          <w:i w:val="false"/>
          <w:color w:val="000000"/>
          <w:sz w:val="28"/>
        </w:rPr>
        <w:t>
      5) первичный объект недвижимости – здания и сооружения различного функционального назначения, а также объекты особого регулирования и градостроительной регламентации;</w:t>
      </w:r>
    </w:p>
    <w:bookmarkEnd w:id="8"/>
    <w:bookmarkStart w:name="z14" w:id="9"/>
    <w:p>
      <w:pPr>
        <w:spacing w:after="0"/>
        <w:ind w:left="0"/>
        <w:jc w:val="both"/>
      </w:pPr>
      <w:r>
        <w:rPr>
          <w:rFonts w:ascii="Times New Roman"/>
          <w:b w:val="false"/>
          <w:i w:val="false"/>
          <w:color w:val="000000"/>
          <w:sz w:val="28"/>
        </w:rPr>
        <w:t>
      6) обременение права на недвижимое имущество – любое ограничение права на недвижимое имущество, возникшее в порядке, предусмотренном законами Республики Казахстан или соглашением сторон и выражающееся в ограничении правомочия правообладателя на владение, пользование и (или) распоряжение недвижимым имуществом;</w:t>
      </w:r>
    </w:p>
    <w:bookmarkEnd w:id="9"/>
    <w:bookmarkStart w:name="z15" w:id="10"/>
    <w:p>
      <w:pPr>
        <w:spacing w:after="0"/>
        <w:ind w:left="0"/>
        <w:jc w:val="both"/>
      </w:pPr>
      <w:r>
        <w:rPr>
          <w:rFonts w:ascii="Times New Roman"/>
          <w:b w:val="false"/>
          <w:i w:val="false"/>
          <w:color w:val="000000"/>
          <w:sz w:val="28"/>
        </w:rPr>
        <w:t>
      7) государственное техническое обследование недвижимого имущества – определение технических, идентификационных характеристик зданий, сооружений и их составляющих, необходимых для ведения правового кадастра;</w:t>
      </w:r>
    </w:p>
    <w:bookmarkEnd w:id="10"/>
    <w:bookmarkStart w:name="z16" w:id="11"/>
    <w:p>
      <w:pPr>
        <w:spacing w:after="0"/>
        <w:ind w:left="0"/>
        <w:jc w:val="both"/>
      </w:pPr>
      <w:r>
        <w:rPr>
          <w:rFonts w:ascii="Times New Roman"/>
          <w:b w:val="false"/>
          <w:i w:val="false"/>
          <w:color w:val="000000"/>
          <w:sz w:val="28"/>
        </w:rPr>
        <w:t>
      8) вторичный объект недвижимости – жилые и нежилые помещения, которым в целях регистрации прав на них присваиваются кадастровые номера как объектам индивидуального (раздельного) права собственности (иного вещного права);</w:t>
      </w:r>
    </w:p>
    <w:bookmarkEnd w:id="11"/>
    <w:bookmarkStart w:name="z17" w:id="12"/>
    <w:p>
      <w:pPr>
        <w:spacing w:after="0"/>
        <w:ind w:left="0"/>
        <w:jc w:val="both"/>
      </w:pPr>
      <w:r>
        <w:rPr>
          <w:rFonts w:ascii="Times New Roman"/>
          <w:b w:val="false"/>
          <w:i w:val="false"/>
          <w:color w:val="000000"/>
          <w:sz w:val="28"/>
        </w:rPr>
        <w:t>
      9) идентификационные характеристики объекта недвижимости – сведения об объекте недвижимого имущества, включая адрес, регистрационный код адреса (при его наличии), вид недвижимости, кадастровый номер, форму собственности, количество составляющих, категорию земель, делимость, целевое назначение, этажность, площадь (общая, жилая, полезная), необходимые для целей ведения правового кадастра;</w:t>
      </w:r>
    </w:p>
    <w:bookmarkEnd w:id="12"/>
    <w:bookmarkStart w:name="z18" w:id="13"/>
    <w:p>
      <w:pPr>
        <w:spacing w:after="0"/>
        <w:ind w:left="0"/>
        <w:jc w:val="both"/>
      </w:pPr>
      <w:r>
        <w:rPr>
          <w:rFonts w:ascii="Times New Roman"/>
          <w:b w:val="false"/>
          <w:i w:val="false"/>
          <w:color w:val="000000"/>
          <w:sz w:val="28"/>
        </w:rPr>
        <w:t>
      10) правоустанавливающие документы – документы, на основании которых возникают, изменяются и (или) прекращаются права (обременения прав) на недвижимое имущество;</w:t>
      </w:r>
    </w:p>
    <w:bookmarkEnd w:id="13"/>
    <w:bookmarkStart w:name="z19" w:id="14"/>
    <w:p>
      <w:pPr>
        <w:spacing w:after="0"/>
        <w:ind w:left="0"/>
        <w:jc w:val="both"/>
      </w:pPr>
      <w:r>
        <w:rPr>
          <w:rFonts w:ascii="Times New Roman"/>
          <w:b w:val="false"/>
          <w:i w:val="false"/>
          <w:color w:val="000000"/>
          <w:sz w:val="28"/>
        </w:rPr>
        <w:t>
      11) правовой кадастр – единый государственный реестр зарегистрированных прав (обременений прав) на недвижимое имущество;</w:t>
      </w:r>
    </w:p>
    <w:bookmarkEnd w:id="14"/>
    <w:bookmarkStart w:name="z20" w:id="15"/>
    <w:p>
      <w:pPr>
        <w:spacing w:after="0"/>
        <w:ind w:left="0"/>
        <w:jc w:val="both"/>
      </w:pPr>
      <w:r>
        <w:rPr>
          <w:rFonts w:ascii="Times New Roman"/>
          <w:b w:val="false"/>
          <w:i w:val="false"/>
          <w:color w:val="000000"/>
          <w:sz w:val="28"/>
        </w:rPr>
        <w:t>
      12) сведения из правового кадастра – информация о зарегистрированных правах (обременениях прав) на недвижимое имущество и иных объектах государственной регистрации, содержащихся в правовом кадастре, и копии документов, находящиеся в регистрационном деле, предоставляемые регистрирующим органом;</w:t>
      </w:r>
    </w:p>
    <w:bookmarkEnd w:id="15"/>
    <w:bookmarkStart w:name="z21" w:id="16"/>
    <w:p>
      <w:pPr>
        <w:spacing w:after="0"/>
        <w:ind w:left="0"/>
        <w:jc w:val="both"/>
      </w:pPr>
      <w:r>
        <w:rPr>
          <w:rFonts w:ascii="Times New Roman"/>
          <w:b w:val="false"/>
          <w:i w:val="false"/>
          <w:color w:val="000000"/>
          <w:sz w:val="28"/>
        </w:rPr>
        <w:t>
      13) заявитель – правообладатель, приобретатель и иные лица, в интересах которых осуществляется государственная регистрация;</w:t>
      </w:r>
    </w:p>
    <w:bookmarkEnd w:id="16"/>
    <w:bookmarkStart w:name="z22" w:id="17"/>
    <w:p>
      <w:pPr>
        <w:spacing w:after="0"/>
        <w:ind w:left="0"/>
        <w:jc w:val="both"/>
      </w:pPr>
      <w:r>
        <w:rPr>
          <w:rFonts w:ascii="Times New Roman"/>
          <w:b w:val="false"/>
          <w:i w:val="false"/>
          <w:color w:val="000000"/>
          <w:sz w:val="28"/>
        </w:rPr>
        <w:t>
      14) уполномоченный представитель заявителя – лицо, которое от имени заявителя подает заявление и осуществляет иные действия, связанные с государственной регистрацией, в силу полномочия, основанного на доверенности, законодательстве, решении суда либо правовом акте;</w:t>
      </w:r>
    </w:p>
    <w:bookmarkEnd w:id="17"/>
    <w:bookmarkStart w:name="z23" w:id="18"/>
    <w:p>
      <w:pPr>
        <w:spacing w:after="0"/>
        <w:ind w:left="0"/>
        <w:jc w:val="both"/>
      </w:pPr>
      <w:r>
        <w:rPr>
          <w:rFonts w:ascii="Times New Roman"/>
          <w:b w:val="false"/>
          <w:i w:val="false"/>
          <w:color w:val="000000"/>
          <w:sz w:val="28"/>
        </w:rPr>
        <w:t>
      15) технический паспорт – составленный по результатам государственного технического обследования недвижимого имущества документ установленной формы, содержащий технические, идентификационные характеристики первичного или вторичного объекта, необходимые для ведения правового кадастра;</w:t>
      </w:r>
    </w:p>
    <w:bookmarkEnd w:id="18"/>
    <w:bookmarkStart w:name="z24" w:id="19"/>
    <w:p>
      <w:pPr>
        <w:spacing w:after="0"/>
        <w:ind w:left="0"/>
        <w:jc w:val="both"/>
      </w:pPr>
      <w:r>
        <w:rPr>
          <w:rFonts w:ascii="Times New Roman"/>
          <w:b w:val="false"/>
          <w:i w:val="false"/>
          <w:color w:val="000000"/>
          <w:sz w:val="28"/>
        </w:rPr>
        <w:t>
      16) регистрирующий орган – Государственная корпорация "Правительство для граждан", осуществляющая государственную регистрацию по месту нахождения недвижимого имущества;</w:t>
      </w:r>
    </w:p>
    <w:bookmarkEnd w:id="19"/>
    <w:bookmarkStart w:name="z25" w:id="20"/>
    <w:p>
      <w:pPr>
        <w:spacing w:after="0"/>
        <w:ind w:left="0"/>
        <w:jc w:val="both"/>
      </w:pPr>
      <w:r>
        <w:rPr>
          <w:rFonts w:ascii="Times New Roman"/>
          <w:b w:val="false"/>
          <w:i w:val="false"/>
          <w:color w:val="000000"/>
          <w:sz w:val="28"/>
        </w:rPr>
        <w:t>
      17) уполномоченный орган – государственный орган, осуществляющий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p>
    <w:bookmarkEnd w:id="20"/>
    <w:bookmarkStart w:name="z26" w:id="21"/>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 и опубликование приказа на официальном интернет-ресурсе Министерства юстиции Республики Казахстан.</w:t>
      </w:r>
    </w:p>
    <w:bookmarkEnd w:id="21"/>
    <w:bookmarkStart w:name="z27" w:id="2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 - министра юстиции Республики Казахстан.</w:t>
      </w:r>
    </w:p>
    <w:bookmarkEnd w:id="22"/>
    <w:bookmarkStart w:name="z28" w:id="2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юстиции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bookmarkStart w:name="z30" w:id="24"/>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 xml:space="preserve">инноваций и аэрокосмической промышленности </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____________________________</w:t>
      </w:r>
      <w:r>
        <w:br/>
      </w:r>
      <w:r>
        <w:rPr>
          <w:rFonts w:ascii="Times New Roman"/>
          <w:b w:val="false"/>
          <w:i w:val="false"/>
          <w:color w:val="000000"/>
          <w:sz w:val="28"/>
        </w:rPr>
        <w:t>2021 г. "____" ______________</w:t>
      </w:r>
    </w:p>
    <w:bookmarkEnd w:id="24"/>
    <w:bookmarkStart w:name="z31" w:id="25"/>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____________________________</w:t>
      </w:r>
      <w:r>
        <w:br/>
      </w:r>
      <w:r>
        <w:rPr>
          <w:rFonts w:ascii="Times New Roman"/>
          <w:b w:val="false"/>
          <w:i w:val="false"/>
          <w:color w:val="000000"/>
          <w:sz w:val="28"/>
        </w:rPr>
        <w:t>2021 г. "____" ______________</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