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image/png" PartName="/word/media/document_image_rId4.png"/>
  <Override ContentType="image/png" PartName="/word/media/document_image_rId5.png"/>
  <Override ContentType="image/png" PartName="/word/media/document_image_rId6.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67fa" w14:textId="5376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марта 2021 года № 26. Зарегистрирован в Министерстве юстиции Республики Казахстан 27 марта 2021 года № 22404</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ПРИКAЗЫВAЮ</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опубликован 26 ноября 2019 года в Эталонном контрольном банке нормативных правовых актов Республики Казахстан) следующие изменения: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«226. Временный компенсирующий тариф утверждается с учетом базовой ставки Национального Банка Республики Казахстан на день принятия решения в соответствии с пунктом 241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«231. В период действия временного компенсирующего тарифа субъект в случае необходимости обращается в ведомство уполномоченного органа с заявкой на утверждение нового тарифа в соответствии с настоящими Правилами.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этом доход, принятый в обоснование уровня нового тарифа,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потребителям его регулируемых услуг.</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Для субъекта, реализующего инвестиционную программу и привлекающего заемные средства кредитных организаций, обязательства по которым напрямую связаны с рейтингом субъекта, суммы, полученные в результате неисполнения тарифной сметы и (или) инвестиционной программы, учитываются при рассмотрении заявки на изменение уровня тарифа путем уменьшения доходной части.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рассмотрении ведомством уполномоченного органа заявки субъекта на утверждение нового тарифа, ведомство уполномоченного органа при выявлении суммы необоснованного дохода с учетом базовой ставки Национального Банка Республики Казахстан, исключает ее из дохода, принятого в обоснование уровня нового тарифа.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отказа ведомством уполномоченного органа в утверждении нового тарифа в соответствии с настоящим пунктом Правил и выявления суммы необоснованного дохода с учетом базовой ставки Национального Банка Республики Казахстан, ведомство уполномоченного органа принимает решение об утверждении временного компенсирующего тарифа.»;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«241.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w:t>
      </w:r>
    </w:p>
    <w:p>
      <w:pPr>
        <w:spacing w:after="0"/>
        <w:ind w:left="0"/>
        <w:jc w:val="left"/>
      </w:pPr>
      <w:r>
        <w:drawing>
          <wp:inline distT="0" distB="0" distL="0" distR="0">
            <wp:extent cx="273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87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НДк - сумма необоснованно полученного дохода с учетом базовой ставки Национального Банка Республики Казахстан, в тенге;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НД - общая сумма необоснованно полученного дохода по видам нарушений, предусмотренным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 - базовая ставка Национального Банка Республики Казахстан на день принятия решения, в процентах.»;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«541. Ставка прибыли для субъектов, предоставляющих услуги водоснабжения и (или) водоотведения принимается в размере не более тридцати процентов.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превышении источников финансирования над объемами инвестиций прибыль 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Если плановый уровень тарифа на услуги водоснабжения и (или) водоотведения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подачи заявки на утверждение тарифа.»;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«543. СВСК определяется по формуле: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СП (СВСК) = ((1 - g) * re) + (g * rd),</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re - ставка вознаграждения на собственный капитал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rd - ставка вознаграждения на заемные средства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Ставка вознаграждения на заемные средства определяется по формуле: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rd = rf + ДП,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rf - безрисковая ставка, определяемая исходя из базовой ставки Национального Банка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Ставка вознаграждения на собственный капитал определяется по формуле: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re = rf + ra,</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ra - премия за риск на собственный капитал. Премия за риск на собственный капитал определяется на основе премии за риск по фондовому рынку Республики Казахстан в целом и корректируется на отраслевой бета-коэффициент по формуле: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ra = b * (15,7 % - rf),</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b - отраслевой бета-коэффициент энергетического сектора. Для расчета ставки прибыли на задействованные активы организации энергетического сектора отраслевой бета-коэффициент принят на уровне 0,89, за исключением субъектов, осуществивших вывод акций на рынок ценных бумаг в рамках программы «Народное IPO», для которых отраслевой бета-коэффициент принят на уровне 1,3.</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«583. Стоимость заемного капитала нефтепроводной организации, у которой удельный вес заемного капитала по отношению ко всему капиталу составляет пятьдесят процентов и более, определяется по формуле:</w:t>
      </w:r>
    </w:p>
    <w:p>
      <w:pPr>
        <w:spacing w:after="0"/>
        <w:ind w:left="0"/>
        <w:jc w:val="left"/>
      </w:pPr>
      <w:r>
        <w:drawing>
          <wp:inline distT="0" distB="0" distL="0" distR="0">
            <wp:extent cx="5003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038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СПЗК - ставка прибыли на заемный капитал;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кредитовi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СРНБ - базовая ставка Национального Банка Республики Казахстан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Учi - ставка рефинансирования банка первого уровня страны (центрального банка), в валюте которой получен кредит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ставка i - годовая процентная ставка вознаграждения по соответствующему кредиту.»;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«585. Для субъектов предоставляющих услуги магистральной железнодорожной сети и подъездных путей, ставка прибыли рассчитывается с помощью метода СВСК и определяется по формуле: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СП(СВСК) = ((1 - g) * re) + (g * rd),</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re - ставка вознаграждения на собственный капитал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rd - ставка вознаграждения на заемные средства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Ставка вознаграждения на заемные средства определяется по формуле: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rd = rf + ДП,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rf - безрисковая ставка принимается равной уровню базовой ставки Национального банка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 Ставка вознаграждения на собственный капитал определяется по формуле: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re = rf + ra,</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ra - премия за риск на собственный капитал. Премия за риск на собственный капитал определяется ведомством уполномоченного органа в установленном порядке. Стоимость вознаграждения на акционерный капитал является величиной не менее стоимости вознаграждения на заемные средства.»;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«589. Риск изношенности основных фондов (rIn) оценивается при помощи следующего выражения:</w:t>
      </w:r>
    </w:p>
    <w:p>
      <w:pPr>
        <w:spacing w:after="0"/>
        <w:ind w:left="0"/>
        <w:jc w:val="left"/>
      </w:pPr>
      <w:r>
        <w:drawing>
          <wp:inline distT="0" distB="0" distL="0" distR="0">
            <wp:extent cx="2667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где: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I - потребность в инвестициях для восстановления основных средств на i-ую услугу (работу), не покрываемая амортизационными отчислениями пропущенный износ);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Zз - объем заемных средств, направляемых на восстановление основных средств на i-ую услугу (работу) на период регулирования, согласно инвестиционному плану субъекта;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Zсуб - среднегодовой объем государственных субсидии на восстановление основных средств на i-ую услугу (работу) на планируемый период, согласно инвестиционному плану субъекта;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Се - стоимость собственного капитала;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Сui - накопленный износ i-той группы основных средств на i-ую услугу (работу) как разница первоначальной и остаточной стоимости основных средств;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ti - нормативный срок службы i-той группы основных средств. Здесь tнi определены как средневзвешенные величины внутри каждой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Безрисковая ставка (rf) принимается равной уровню базовой ставки Национального банка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«631. Расходы периода учитываются в затратной части тарифа следующим образом: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направляется субъектом на увеличение уровня заработной платы административного персонала.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согласно штатному расписанию, не превышающего пятнадцать раз.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Для субъектов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административного персонала определяются из фактической численности, но не превышающей нормативной численности персонала субъекта, и среднемесячной заработной платы в регионе по видам экономической деятельности, сложившейся по данным статистики за год, предшествующей подаче заявки;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налоговому законодательству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заключенного договора с банком (с приложением графика погашения основного долга и процентов) и определяются следующим образом: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Национального Банка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четырех кратной ставки Лондонского межбанковского рынка.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Комитету по регулированию естественных монополий в установленном законодательством Республики Казахстан порядке обеспечить: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Контроль за исполнением настоящего приказа возложить на курируещего вице-министра национальной экономики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 xml:space="preserve">Министр национальной  экономики </w:t>
      </w:r>
      <w:r>
        <w:br/>
      </w: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r>
        <w:rPr>
          <w:rFonts w:ascii="Times New Roman"/>
          <w:b w:val="false"/>
          <w:i w:val="false"/>
          <w:color w:val="000000"/>
          <w:sz w:val="28"/>
        </w:rPr>
        <w:t xml:space="preserve">        </w:t>
      </w:r>
      <w:r>
        <w:rPr>
          <w:rFonts w:ascii="Times New Roman"/>
          <w:b/>
          <w:i w:val="false"/>
          <w:color w:val="000000"/>
          <w:sz w:val="28"/>
        </w:rPr>
        <w:t>A. Иргалиев</w:t>
      </w:r>
    </w:p>
    <w:p>
      <w:pPr>
        <w:spacing w:after="0"/>
        <w:ind w:left="0"/>
        <w:jc w:val="left"/>
      </w:pPr>
      <w:r>
        <w:rPr>
          <w:rFonts w:ascii="Times New Roman"/>
          <w:b w:val="false"/>
          <w:i w:val="false"/>
          <w:color w:val="000000"/>
          <w:sz w:val="28"/>
        </w:rPr>
        <w:t>
</w:t>
      </w:r>
      <w:r>
        <w:rPr>
          <w:rFonts w:ascii="Times New Roman"/>
          <w:b w:val="false"/>
          <w:i w:val="false"/>
          <w:color w:val="000000"/>
          <w:sz w:val="28"/>
        </w:rPr>
        <w:t>
«СОГЛAСОВAН»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
«СОГЛAСОВAН»</w:t>
      </w:r>
      <w:r>
        <w:br/>
      </w:r>
      <w:r>
        <w:rPr>
          <w:rFonts w:ascii="Times New Roman"/>
          <w:b w:val="false"/>
          <w:i w:val="false"/>
          <w:color w:val="000000"/>
          <w:sz w:val="28"/>
        </w:rPr>
        <w:t>Министерство экологии,</w:t>
      </w:r>
      <w:r>
        <w:br/>
      </w:r>
      <w:r>
        <w:rPr>
          <w:rFonts w:ascii="Times New Roman"/>
          <w:b w:val="false"/>
          <w:i w:val="false"/>
          <w:color w:val="000000"/>
          <w:sz w:val="28"/>
        </w:rPr>
        <w:t>геологии и природных ресурсов</w:t>
      </w:r>
      <w:r>
        <w:br/>
      </w: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
«СОГЛAСОВAН»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png" Type="http://schemas.openxmlformats.org/officeDocument/2006/relationships/image" Id="rId4"/><Relationship Target="media/document_image_rId5.png" Type="http://schemas.openxmlformats.org/officeDocument/2006/relationships/image" Id="rId5"/><Relationship Target="media/document_image_rId6.pn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