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941ffb" w14:textId="9941ff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приказ Министра энергетики Республики Казахстан от 21 декабря 2017 года № 466 «Об утверждении Правил организации и проведения аукционных торгов, включающие квалификационные требования, предъявляемые к участникам аукциона, содержание и порядок подачи заявки, виды финансового обеспечения заявки на участие в аукционе и условия их внесения и возврата, порядок подведения итогов и определения победителей»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энергетики Республики Казахстан от 9 марта 2021 года № 74. Зарегистрирован в Министерстве юстиции Республики Казахстан 11 марта 2021 года № 22316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ПРИКAЗЫВAЮ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 xml:space="preserve">
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энергетики Республики Казахстан от 21 декабря 2017 года № 466 «Об утверждении Правил организации и проведения аукционных торгов, включающие квалификационные требования, предъявляемые к участникам аукциона, содержание и порядок подачи заявки, виды финансового обеспечения заявки на участие в аукционе и условия их внесения и возврата, порядок подведения итогов и определения победителей» (зарегистрирован в Реестре государственной регистрации нормативных правовых актов за № 16240, опубликован 24 января 2018 года в Эталонном контрольном банке нормативных правовых актов Республики Казахстан) следующие изменения и дополнения: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 xml:space="preserve">
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организации и проведения аукционных торгов, включающие квалификационные требования, предъявляемые к участникам аукциона, содержание и порядок подачи заявки, виды финансового обеспечения заявки на участие в аукционе и условия их внесения и возврата, порядок подведения итогов и определения победителей, утвержденных указанным приказом: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«2. В настоящих Правилах применяются следующие основные понятия и определения: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1) аукционная цена - цена на покупку расчетно-финансовым центром по поддержке возобновляемых источников энергии электрической энергии, производимой объектом по использованию возобновляемых источников энергии, объектом по энергетической утилизации отходов, определенная по итогам аукционных торгов и не превышающая уровня соответствующей предельной аукционной цены;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2) аукционные торги - процесс, организуемый и проводимый организатором аукционных торгов в электронной системе на основе аукциона и направленный на отбор проектов по строительству новых объектов по использованию возобновляемых источников энергии с учетом плана размещения данных объектов, объектов по энергетической утилизации отходов и определение аукционных цен электрической энергии, производимой объектами по использованию возобновляемых источников энергии, объектами по энергетической утилизации отходов;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3) реестр победителей аукционных торгов - документ, формируемый организатор аукционных торгов по итогам аукционных торгов и подтверждающий результаты проведенных торгов;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4) участник аукционных торгов (далее - участник) - заявитель, прошедший регистрацию у организатора аукционных торгов и получивший статус участника;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5) организатор аукционных торгов (далее - Организатор) - юридическое лицо, определяемое уполномоченным органом, осуществляющее в порядке, предусмотренном Законом, организацию и проведение аукционных торгов;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6) банковская гарантия - письменный документ, оформленный в соответствии с Правилами выдачи банками второго уровня банковских гарантий и поручительств, утвержденными постановлением Правления Национального Банка Республики Казахстан от 28 января 2017 года № 21 (зарегистрирован в Реестре государственной регистрации нормативных правовых актов № 14915), и выданный банком клиенту (лицу-должнику) на основании его заявления в пользу третьего лица (лица - кредитора), согласно которому банк обязуется выплатить ограниченную сумму денег третьему лицу (лицу-кредитору) на указанных в нем условиях;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7) минимально допустимый объем установленной мощности - объем установленной мощности, ниже которого участник не реализует проект строительства нового объекта по использованию возобновляемых источников энергии;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8) бенефициар - лицо, в пользу которого осуществляются платеж и (или) перевод денег;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9) лицо-должник - юридическое лицо по поручению которого банк-эмитент выпускает банковскую гарантию или резервный аккредитив в пользу бенефициара;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10) односторонний аукцион - форма организации аукционных торгов, направленная на определение победителей, путем последовательного отбора заявок участников аукционных торгов из ранжированного списка участников аукционных торгов;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11) возобновляемые источники энергии (далее - ВИЭ) - источники энергии, непрерывно возобновляемые за счет естественно протекающих природных процессов, включающие в себя следующие виды: энергия солнечного излучения, энергия ветра, гидродинамическая энергия воды; геотермальная энергия: тепло грунта, подземных вод, рек, водоемов, а также антропогенные источники первичных энергоресурсов: биомасса, биогаз и иное топливо из органических отходов, используемые для производства электрической и (или) тепловой энергии;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12) расчетно-финансовый центр по поддержке возобновляемых источников энергии (далее - расчетно-финансовый центр) - юридическое лицо, создаваемое системным оператором и определяемое уполномоченным органом, осуществляющее в порядке, предусмотренном Законом, централизованную покупку и продажу электрической энергии, произведенной объектами по использованию ВИЭ, объектами по энергетической утилизации отходов, и паводковой электрической энергии, поставленных в электрические сети единой электроэнергетической системы Республики Казахстан;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13) максимально допустимая мощность объектов ВИЭ - максимальный допустимый объем подключаемой к электрической сети мощности солнечных и ветровых электростанций, определенный исходя из технических возможностей электроэнергетической системы;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14) объект по использованию ВИЭ - технические устройства, предназначенные для производства электрической и (или) тепловой энергии с использованием ВИЭ, и взаимосвязанные с ними сооружения и инфраструктура, технологически необходимые для эксплуатации объекта по использованию ВИЭ и находящиеся на балансе собственника объекта по использованию ВИЭ;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15) энергетическая утилизация отходов - процесс термической обработки отходов с целью уменьшения их объема и получения энергии, в том числе использования их в качестве вторичных и (или) энергетических ресурсов, за исключением получения биогаза и иного топлива из органических отходов;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16) объект по энергетической утилизации отходов - совокупность технических устройств и установок, предназначенных для энергетической утилизации отходов, и взаимосвязанных с ними сооружений и инфраструктуры, технологически необходимых для энергетической утилизации отходов;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17) уполномоченный орган в области охраны окружающей среды - центральный исполнительный орган, осуществляющий руководство и межотраслевую координацию в области охраны окружающей среды и природопользования, а также его территориальные органы;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18) заявитель - юридическое лицо или консорциум, планирующее участие в аукционных торгах;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19) резервный аккредитив - обязательство банка уплатить в пользу бенефициара по аккредитиву сумму по наступлению случая (неисполнения лицом-должником обязательств перед бенефициаром). Резервный аккредитив выпускается по системе SWIFT;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20) ранжированный список - список заявок участников аукционных торгов, упорядоченный в порядке возрастания указанных в заявках цен;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21) договор покупки - договор покупки электрической энергии у энергопроизводящей организации, использующей ВИЭ или энергетическую утилизацию отходов, по аукционным ценам, заключаемый между расчетно-финансовым центром и энергопроизводящей организацией, использующей ВИЭ или энергетическую утилизацию отходов;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22) торговая система - комплекс организационных, технических, программных компонентов, обеспечивающих проведение аукционных торгов посредством интернета;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23) торговая сессия - процесс, в течение которого осуществляется подача заявок участниками аукционных торгов, определение цен, объемов аукционных торгов и формируется реестр победителей аукционных торгов;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24) уполномоченный орган - центральный исполнительный орган, осуществляющий руководство и межотраслевую координацию в области поддержки использования возобновляемых источников энергии;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25) предельная аукционная цена - максимальная величина аукционной цены на электрическую энергию;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26) точка подключения к электрической сети - место физического соединения объекта по использованию возобновляемых источников энергии, объекта по энергетической утилизации отходов энергопроизводящей организации с электрической сетью энергопередающей организации.»;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дополнить пунктом 2-2 в следующей редакции: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«2-2. Отбор проектов по энергетической утилизации отходов и определение аукционных цен электрической энергии, производимой объектами по энергетической утилизации отходов, проводится путем организации и проведения аукционных торгов с подготовленной основной информацией по строительству объектов по энергетической утилизации отходов по группам населенных пунктов для внедрения объектов энергетической утилизации в соответствии с параграфом 6 главы 2 настоящих Правил.»;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«5. Местные исполнительные органы областей, города республиканского значения и столицы осуществляют в соответствии с подпунктом 3-1) статьи 7 Закона резервирование земельных участков для планируемых к строительству объектов по использованию ВИЭ до момента предоставления победителям аукционных торгов прав на земельный участок, в соответствии с Земельным кодексом Республики Казахстан от 20 июня 2003 года (далее - Земельный кодекс) и направляют соответствующую информацию уполномоченному органу по форме, согласно таблице 1 Графика.»;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пункт 23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«23. Торговая сессия при проведении аукционных торгов проводится в сроки, устанавливаемые в соответствии с пунктом 3 или подпунктом 7) пункта 60-5 настоящих Правил, в случае проведения аукционных торгов по отбору проектов по энергетической утилизации отходов, и длится 30 (тридцать) минут.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При этом торговая сессия продлевается на 5 (пять) минут при поступлении заявки от участников аукционных торгов с ценой ниже, чем имеющееся минимальное предложение в течение пяти минут до завершения торговой сессии.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Общее время проведения торговой сессии с учетом возможных продлении, предусмотренных частью второй настоящего пункта, составляет не более 1 (одного) часа с момента открытия.»;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пункт 51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«51. Организатор производит расчет цен при выполнении следующих условий: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1) суммарный объем установленной мощности заявок на участие в аукционных торгах на продажу не менее 130% объема спроса установленной мощности;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2) количество участников, зарегистрированных и допущенных на соответствующие аукционные торги в торговой системе, не менее двух;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В случае невыполнения вышеуказанных условий, Организатор не производит расчет цен, закрывает торги до истечения времени закрытия торговой сессии и объявляет торги не состоявшимися.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Положение подпункта 1) настоящего пункта не относится к проведению аукционных торгов по отбору проектов по строительству объектов по энергетической утилизации отходов, по отбору проектов, использующих гидродинамическую энергию воды, биомассу, биогаз и иное топливо из органических отходов, используемые для производства электрической энергии.»;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главу 2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параграфом 6 следующего содержания: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«Параграф 6. Организация и проведение аукционных торгов по отбору проектов по энергетической утилизации отходов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60-1. Уполномоченный орган в области охраны окружающей среды направляет в местные исполнительные органы извещение о необходимости внедрения в соответствующем регионе объекта по энергетической утилизации отходов, и предоставления информации по строительству объектов по энергетической утилизации, предусмотренной пунктом 60-2 настоящих Правил.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60-2. Местные исполнительные органы в месячный срок письменно направляют в уполномоченный орган в области охраны окружающей среды следующую информацию: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1) гарантийное письмо о резервировании и предоставлении земельного участка (для планируемых к строительству объектов по энергетической утилизации отходов) победителю аукционных торгов по отбору проектов по энергетической утилизации отходов с учетом технических характеристик в соответствии с Земельным кодексом;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 xml:space="preserve">
2) информация об энергопередающей организации, владеющей ближайшей точкой подключения к электрическим сетям;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3) объем образуемых отходов.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60-3. Уполномоченный орган в области охраны окружающей среды направляет запрос энергопередающим организациям и Системному оператору о необходимости предоставления информации о возможных точках подключения к электрическим сетям для аукционных торгов по отбору проектов по энергетической утилизации отходов в определенном регионе.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Энергопередающие организации в течение 15 (пятнадцати) календарных дней с момента получения запроса предоставляют уполномоченному органу в области охраны окружающей среды информацию о возможности ближайшего подключения к электрическим сетям в указанном регионе и резервирует данную точку подключения к электрической сети для победителя аукционных торгов по отбору проектов по энергетической утилизации отходов.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С момента предоставления информации о возможности подключения к электрическим сетям до завершения аукционных торгов по отбору проектов по энергетической утилизации отходов, энергопередающие организации приостанавливают прием заявок на получение технических условий на подключение к электрической сети по зарезервированным точкам подключения к электрической сети.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60-4. Местные исполнительные органы выделяют земельные участки под строительство объектов по размещению отходов производства и потребления в соответствии с Земельным кодексом, и резервируют земельные участки, предназначенные для строительства объектов по энергетической утилизации до момента предоставления победителям аукционных торгов на земельный участок.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60-5. Уполномоченный орган в области охраны окружающей среды в течение 7 (семи) календарных дней после получения информаций, указанных в пунктах 60-2 и 60-3 настоящих Правил, направляет Организатору следующую информацию для проведения аукционных торгов: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 xml:space="preserve">
1) по группам населенных пунктов для внедрения объектов энергетической утилизации, определенных Правилами формирования перечня энергопроизводящих организаций, использующих энергетическую утилизацию отходов, утверждаемыми уполномоченным органом в области охраны окружающей среды в соответствии с подпунктом 28-17) статьи 17 Экологического Кодекса Республики Казахстан от 9 января 2007 года (далее е Экологический кодекс);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2) по документам местных исполнительных органов по резервированию земельных участков в каждом населенном пункте группы, указанной в подпункте 1) настоящего пункта;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3) об объемах образуемых отходов в каждом населенном пункте группы, указанной в подпункте 1) настоящего пункта, в котором предполагается внедрение энергетической утилизации отходов;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4) о ближайших точках подключения к электрическим сетям для каждого населенного пункта группы, указанной в подпункте 1) настоящего пункта, в котором предполагается внедрение энергетической утилизации отходов;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5) о предельной аукционной цене по каждой группе;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6) об установленной мощности предполагаемых объектов по энергетической утилизации отходов;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 xml:space="preserve">
7) о сроках и дате проведения аукционных торгов, сроках приема документов и регистрации заявителей в аукционных торгах, а также сроках и дате проведения торговой сессии.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При этом, дата проведения торговой сессии определяется не менее чем за 2 (два) месяца с момента получения Организатором информаций, указанных в настоящем пункте.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60-6. После получения информации по строительству объектов по энергетической утилизации, Организатор в течение 3 (трех) рабочих дней размещает ее на своем интернет-ресурсе, а также условия и сроки приема документов и регистрации заявителей в аукционных торгах.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 xml:space="preserve">
60-7. Подготовка к аукционным торгам по отбору проектов по энергетической утилизации отходов проводится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пунктами 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17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18</w:t>
      </w:r>
      <w:r>
        <w:rPr>
          <w:rFonts w:ascii="Times New Roman"/>
          <w:b w:val="false"/>
          <w:i w:val="false"/>
          <w:color w:val="000000"/>
          <w:sz w:val="28"/>
        </w:rPr>
        <w:t xml:space="preserve">, за исключением </w:t>
      </w:r>
      <w:r>
        <w:rPr>
          <w:rFonts w:ascii="Times New Roman"/>
          <w:b w:val="false"/>
          <w:i w:val="false"/>
          <w:color w:val="000000"/>
          <w:sz w:val="28"/>
        </w:rPr>
        <w:t>подпункта 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18 и </w:t>
      </w:r>
      <w:r>
        <w:rPr>
          <w:rFonts w:ascii="Times New Roman"/>
          <w:b w:val="false"/>
          <w:i w:val="false"/>
          <w:color w:val="000000"/>
          <w:sz w:val="28"/>
        </w:rPr>
        <w:t>пункта 43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 xml:space="preserve">
60-8.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10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Правил, Организатор производит прием документов и регистрацию заявителей в базе данных торговой системы в течение 1 (одного) месяца со дня размещения Организатором текста информаций, представленных в соответствии с пунктом 60-5 настоящих Правил.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 xml:space="preserve">
60-9. Организатор не позднее 3 (трех) рабочих дней со дня завершения приема документов и регистрации заявителей, направляет в уполномоченный орган в области охраны окружающей среды список участников аукционных торгов, прошедших регистрацию в базе данных торговой системы Организатора, и размещает на интернет-ресурсе Организатора.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60-10. Участники аукционных торгов по отбору проектов по энергетической утилизации отходов направляют в уполномоченный орган в области охраны окружающей среды документы для их включения в перечень энергопроизводящих организаций, использующих энергетическую утилизацию отходов в соответствии с Правилами формирования перечня энергопроизводящих организаций, использующих энергетическую утилизацию отходов, утверждаемыми уполномоченным органом в области охраны окружающей среды в соответствии с подпунктом 28-17) статьи 17 Экологического кодекса.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60-11. Комиссия по вопросам формирования перечня энергопроизводящих организаций, использующих энергетическую утилизацию отходов, в срок не более 1 (одного) месяца рассматривает представленные участниками документы, принимает решение и направляет Организатору не позднее 15 (пятнадцати) календарных дней до даты проведения торговой сессии перечень энергопроизводящих организаций, использующих энергетическую утилизацию отходов.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 xml:space="preserve">
60-12. Подача заявки для участия в торговой сессии аукционных торгов по отбору проектов по энергетической утилизации отходов осуществляется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пунктами 21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25</w:t>
      </w:r>
      <w:r>
        <w:rPr>
          <w:rFonts w:ascii="Times New Roman"/>
          <w:b w:val="false"/>
          <w:i w:val="false"/>
          <w:color w:val="000000"/>
          <w:sz w:val="28"/>
        </w:rPr>
        <w:t xml:space="preserve">, подпунктами 1), 2) и 3) </w:t>
      </w:r>
      <w:r>
        <w:rPr>
          <w:rFonts w:ascii="Times New Roman"/>
          <w:b w:val="false"/>
          <w:i w:val="false"/>
          <w:color w:val="000000"/>
          <w:sz w:val="28"/>
        </w:rPr>
        <w:t>пункта 26</w:t>
      </w:r>
      <w:r>
        <w:rPr>
          <w:rFonts w:ascii="Times New Roman"/>
          <w:b w:val="false"/>
          <w:i w:val="false"/>
          <w:color w:val="000000"/>
          <w:sz w:val="28"/>
        </w:rPr>
        <w:t xml:space="preserve">, и </w:t>
      </w:r>
      <w:r>
        <w:rPr>
          <w:rFonts w:ascii="Times New Roman"/>
          <w:b w:val="false"/>
          <w:i w:val="false"/>
          <w:color w:val="000000"/>
          <w:sz w:val="28"/>
        </w:rPr>
        <w:t>пунктами 27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60-13. Организатор до открытия аукционных торгов вносит в торговую систему информацию, указанную в пункте 60-5 настоящих Правил, до открытия торговой сессии вносит информацию о величинах финансового обеспечения заявок на участие в аукционных торгах, полученную от расчетно-финансового центра.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 xml:space="preserve">
60-14. Виды финансового обеспечения заявки на участие в аукционе и условия их внесения и возврата аукционных торгов по отбору проектов по энергетической утилизации отходов регламентируются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пунктами 20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48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49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60-15. Размер финансового обеспечения заявки в аукционных торгах на участие составляет - 5 000 (пять тысяч) тенге на 1 (один) киловатт установленной мощности, умноженный на установленную мощность объекта по энергетической утилизации отходов, указанную в информации представленной уполномоченным органом в области охраны окружающей среды согласно подпункту 6) пункта 60-5 настоящих Правил.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60-16. В торговой сессии участвуют участники аукционных торгов, включенные в перечень энергопроизводящих организаций, использующих энергетическую утилизацию отходов.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В течение торговой сессии участникам аукционных торгов открыта следующая информация: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1) предусмотренная пунктом 60-5 настоящих Правил;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2) о заявках на участие в аукционных торгах, поданная участником со всеми ее параметрами (цена, время подачи заявки);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3) о заявках, представленных участниками торгов с указанием цены.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60-17. В случае участия в торговой сессии одного участника аукционных торгов по отбору проектов по энергетической утилизации отходов, Организатор направляет данному участнику оферту с предоставлением следующих условий: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1) в случае если предельная аукционная цена снижена на 50% и более, то оферта направляется ниже на 1% от наименьшей цены, зафиксированной в заявке данного участника;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2) в случае если предельная аукционная цена снижена в диапазоне от 30% до 50%, то оферта направляется ниже на 5% от наименьшей цены, зафиксированной в заявке данного участника;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3) в случае если предельная аукционная цена снижена в диапазоне от 10% до 30%, то оферта направляется ниже на 7% от наименьшей цены, зафиксированной в заявке данного участника;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4) в случае если предельная аукционная цена снижена до 10%, то оферта направляется ниже на 10 % от наименьшей цены, зафиксированной в заявке данного участника.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В случае получения согласия от участника, указанного в настоящем пункте, его включают в реестр победителей аукционных торгов.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В случае получения отказа от участника, указанного в настоящем пункте, Организатор закрывает торги до истечения времени закрытия торговой сессии и объявляет торги не состоявшимися.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 xml:space="preserve">
60-18. Подведение итогов и определение победителей аукционных торгов по отбору проектов по энергетической утилизации отходов регламентируется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пунктами 51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53-1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58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60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60-19. Организатор не позднее 1 (одного) рабочего дня после закрытия торговой сессии формирует и направляет уполномоченному органу в области охраны окружающей среды итоги проведенных аукционных торгов по отбору проектов по энергетической утилизации отходов с расшифровкой пошагового проведения аукционных торгов и указанием полной информации обо всех представленных в торговую систему заявках и реестр победителей аукционных торгов.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 xml:space="preserve">
60-20. Победители аукционных торгов по отбору проектов по энергетической утилизации отходов подают заявку для заключения договора купли-продажи с расчетно-финансовым центром по каждому отдельному объекту по энергетической утилизации на покупку электрической энергии, произведенной объектами по энергетической утилизации отходов, в течение 60 (шестидесяти) календарных дней после включения их в реестр победителей аукционных торгов.»;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пункт 64-1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 xml:space="preserve">
«64-1. В случае если аукционные торги объявлены не состоявшимися по причинам, указанным в </w:t>
      </w:r>
      <w:r>
        <w:rPr>
          <w:rFonts w:ascii="Times New Roman"/>
          <w:b w:val="false"/>
          <w:i w:val="false"/>
          <w:color w:val="000000"/>
          <w:sz w:val="28"/>
        </w:rPr>
        <w:t>пункте 51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Правил, Организатор проводит их повторно во второй декаде последнего месяца следующего квартала не более одного раза.»;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2. Департаменту по возобновляемым источникам энергии Министерства энергетики Республики Казахстан в установленном законодательством Республики Казахстан порядке обеспечить: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1) государственную регистрацию настоящего приказа в Министерстве юстиции Республики Казахстан;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2) размещение настоящего приказа на интернет-ресурсе Министерства энергетики Республики Казахстан;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3)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энергетики Республики Казахстан сведений об исполнении мероприятий, предусмотренных подпунктами 1) и 2) настоящего пункта.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3. Контроль за исполнением настоящего приказа возложить на курирующего вице-министра энергетики Республики Казахстан.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4. Настоящий приказ вводится в действие по истечении двадцати одного календарного дня после дня его первого официального опубликования.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министр энергетики</w:t>
      </w:r>
      <w:r>
        <w:br/>
      </w:r>
      <w:r>
        <w:rPr>
          <w:rFonts w:ascii="Times New Roman"/>
          <w:b/>
          <w:i w:val="false"/>
          <w:color w:val="000000"/>
          <w:sz w:val="28"/>
        </w:rPr>
        <w:t xml:space="preserve">Республики Казахстан </w:t>
      </w:r>
      <w:r>
        <w:rPr>
          <w:rFonts w:ascii="Times New Roman"/>
          <w:b w:val="false"/>
          <w:i w:val="false"/>
          <w:color w:val="000000"/>
          <w:sz w:val="28"/>
        </w:rPr>
        <w:t xml:space="preserve">        </w:t>
      </w:r>
      <w:r>
        <w:rPr>
          <w:rFonts w:ascii="Times New Roman"/>
          <w:b/>
          <w:i w:val="false"/>
          <w:color w:val="000000"/>
          <w:sz w:val="28"/>
        </w:rPr>
        <w:t>Н. Ногаев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a"/>
          <w:sz w:val="28"/>
        </w:rPr>
        <w:t>«СОГЛAСОВAН»</w:t>
      </w:r>
      <w:r>
        <w:br/>
      </w:r>
      <w:r>
        <w:rPr>
          <w:rFonts w:ascii="Times New Roman"/>
          <w:b w:val="false"/>
          <w:i w:val="false"/>
          <w:color w:val="00000a"/>
          <w:sz w:val="28"/>
        </w:rPr>
        <w:t>Министр национальной экономики</w:t>
      </w:r>
      <w:r>
        <w:br/>
      </w:r>
      <w:r>
        <w:rPr>
          <w:rFonts w:ascii="Times New Roman"/>
          <w:b w:val="false"/>
          <w:i w:val="false"/>
          <w:color w:val="00000a"/>
          <w:sz w:val="28"/>
        </w:rPr>
        <w:t>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a"/>
          <w:sz w:val="28"/>
        </w:rPr>
        <w:t>«СОГЛAСОВAН»</w:t>
      </w:r>
      <w:r>
        <w:br/>
      </w:r>
      <w:r>
        <w:rPr>
          <w:rFonts w:ascii="Times New Roman"/>
          <w:b w:val="false"/>
          <w:i w:val="false"/>
          <w:color w:val="00000a"/>
          <w:sz w:val="28"/>
        </w:rPr>
        <w:t>Министерство экологии, геологии</w:t>
      </w:r>
      <w:r>
        <w:br/>
      </w:r>
      <w:r>
        <w:rPr>
          <w:rFonts w:ascii="Times New Roman"/>
          <w:b w:val="false"/>
          <w:i w:val="false"/>
          <w:color w:val="00000a"/>
          <w:sz w:val="28"/>
        </w:rPr>
        <w:t>и природных ресурсов</w:t>
      </w:r>
      <w:r>
        <w:br/>
      </w:r>
      <w:r>
        <w:rPr>
          <w:rFonts w:ascii="Times New Roman"/>
          <w:b w:val="false"/>
          <w:i w:val="false"/>
          <w:color w:val="00000a"/>
          <w:sz w:val="28"/>
        </w:rPr>
        <w:t>Республики Казахстан</w:t>
      </w:r>
    </w:p>
    <w:p>
      <w:pPr>
        <w:spacing w:after="0"/>
        <w:ind w:left="0"/>
        <w:jc w:val="center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a"/>
          <w:sz w:val="28"/>
        </w:rPr>
        <w:t>Приложение 1 к приказу</w:t>
      </w:r>
      <w:r>
        <w:br/>
      </w:r>
      <w:r>
        <w:rPr>
          <w:rFonts w:ascii="Times New Roman"/>
          <w:b w:val="false"/>
          <w:i w:val="false"/>
          <w:color w:val="00000a"/>
          <w:sz w:val="28"/>
        </w:rPr>
        <w:t>министр энергетики</w:t>
      </w:r>
      <w:r>
        <w:br/>
      </w:r>
      <w:r>
        <w:rPr>
          <w:rFonts w:ascii="Times New Roman"/>
          <w:b w:val="false"/>
          <w:i w:val="false"/>
          <w:color w:val="00000a"/>
          <w:sz w:val="28"/>
        </w:rPr>
        <w:t>Республики Казахстан</w:t>
      </w:r>
      <w:r>
        <w:br/>
      </w:r>
      <w:r>
        <w:rPr>
          <w:rFonts w:ascii="Times New Roman"/>
          <w:b w:val="false"/>
          <w:i w:val="false"/>
          <w:color w:val="00000a"/>
          <w:sz w:val="28"/>
        </w:rPr>
        <w:t>от 9 марта 2021 года № 74</w:t>
      </w:r>
    </w:p>
    <w:p>
      <w:pPr>
        <w:spacing w:after="0"/>
        <w:ind w:left="0"/>
        <w:jc w:val="center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a"/>
          <w:sz w:val="28"/>
        </w:rPr>
        <w:t>Приложение 1</w:t>
      </w:r>
      <w:r>
        <w:br/>
      </w:r>
      <w:r>
        <w:rPr>
          <w:rFonts w:ascii="Times New Roman"/>
          <w:b w:val="false"/>
          <w:i w:val="false"/>
          <w:color w:val="00000a"/>
          <w:sz w:val="28"/>
        </w:rPr>
        <w:t>к Правилам организации и</w:t>
      </w:r>
      <w:r>
        <w:br/>
      </w:r>
      <w:r>
        <w:rPr>
          <w:rFonts w:ascii="Times New Roman"/>
          <w:b w:val="false"/>
          <w:i w:val="false"/>
          <w:color w:val="00000a"/>
          <w:sz w:val="28"/>
        </w:rPr>
        <w:t>проведения аукционных торгов,</w:t>
      </w:r>
      <w:r>
        <w:br/>
      </w:r>
      <w:r>
        <w:rPr>
          <w:rFonts w:ascii="Times New Roman"/>
          <w:b w:val="false"/>
          <w:i w:val="false"/>
          <w:color w:val="00000a"/>
          <w:sz w:val="28"/>
        </w:rPr>
        <w:t>включающие</w:t>
      </w:r>
      <w:r>
        <w:br/>
      </w:r>
      <w:r>
        <w:rPr>
          <w:rFonts w:ascii="Times New Roman"/>
          <w:b w:val="false"/>
          <w:i w:val="false"/>
          <w:color w:val="00000a"/>
          <w:sz w:val="28"/>
        </w:rPr>
        <w:t>квалификационные требования,</w:t>
      </w:r>
      <w:r>
        <w:br/>
      </w:r>
      <w:r>
        <w:rPr>
          <w:rFonts w:ascii="Times New Roman"/>
          <w:b w:val="false"/>
          <w:i w:val="false"/>
          <w:color w:val="00000a"/>
          <w:sz w:val="28"/>
        </w:rPr>
        <w:t>предъявляемые к участникам</w:t>
      </w:r>
      <w:r>
        <w:br/>
      </w:r>
      <w:r>
        <w:rPr>
          <w:rFonts w:ascii="Times New Roman"/>
          <w:b w:val="false"/>
          <w:i w:val="false"/>
          <w:color w:val="00000a"/>
          <w:sz w:val="28"/>
        </w:rPr>
        <w:t>аукциона, содержание и порядок</w:t>
      </w:r>
      <w:r>
        <w:br/>
      </w:r>
      <w:r>
        <w:rPr>
          <w:rFonts w:ascii="Times New Roman"/>
          <w:b w:val="false"/>
          <w:i w:val="false"/>
          <w:color w:val="00000a"/>
          <w:sz w:val="28"/>
        </w:rPr>
        <w:t>подачи заявки, виды</w:t>
      </w:r>
      <w:r>
        <w:br/>
      </w:r>
      <w:r>
        <w:rPr>
          <w:rFonts w:ascii="Times New Roman"/>
          <w:b w:val="false"/>
          <w:i w:val="false"/>
          <w:color w:val="00000a"/>
          <w:sz w:val="28"/>
        </w:rPr>
        <w:t>финансового обеспечения заявки</w:t>
      </w:r>
      <w:r>
        <w:br/>
      </w:r>
      <w:r>
        <w:rPr>
          <w:rFonts w:ascii="Times New Roman"/>
          <w:b w:val="false"/>
          <w:i w:val="false"/>
          <w:color w:val="00000a"/>
          <w:sz w:val="28"/>
        </w:rPr>
        <w:t>на участие в аукционе и условия</w:t>
      </w:r>
      <w:r>
        <w:br/>
      </w:r>
      <w:r>
        <w:rPr>
          <w:rFonts w:ascii="Times New Roman"/>
          <w:b w:val="false"/>
          <w:i w:val="false"/>
          <w:color w:val="00000a"/>
          <w:sz w:val="28"/>
        </w:rPr>
        <w:t>их внесения и возврата, порядок</w:t>
      </w:r>
      <w:r>
        <w:br/>
      </w:r>
      <w:r>
        <w:rPr>
          <w:rFonts w:ascii="Times New Roman"/>
          <w:b w:val="false"/>
          <w:i w:val="false"/>
          <w:color w:val="00000a"/>
          <w:sz w:val="28"/>
        </w:rPr>
        <w:t>подведения итогов и</w:t>
      </w:r>
      <w:r>
        <w:br/>
      </w:r>
      <w:r>
        <w:rPr>
          <w:rFonts w:ascii="Times New Roman"/>
          <w:b w:val="false"/>
          <w:i w:val="false"/>
          <w:color w:val="00000a"/>
          <w:sz w:val="28"/>
        </w:rPr>
        <w:t>определения победителей</w:t>
      </w:r>
    </w:p>
    <w:p>
      <w:pPr>
        <w:spacing w:after="0"/>
        <w:ind w:left="0"/>
        <w:jc w:val="center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a"/>
          <w:sz w:val="28"/>
        </w:rPr>
        <w:t>Форма</w:t>
      </w:r>
    </w:p>
    <w:p>
      <w:pPr>
        <w:spacing w:after="0"/>
        <w:ind w:left="0"/>
        <w:jc w:val="center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График проведения аукционных торгов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41"/>
        <w:gridCol w:w="1185"/>
        <w:gridCol w:w="1185"/>
        <w:gridCol w:w="592"/>
        <w:gridCol w:w="592"/>
        <w:gridCol w:w="1334"/>
        <w:gridCol w:w="741"/>
        <w:gridCol w:w="1185"/>
        <w:gridCol w:w="1483"/>
        <w:gridCol w:w="1483"/>
        <w:gridCol w:w="1483"/>
        <w:gridCol w:w="2076"/>
      </w:tblGrid>
      <w:tr>
        <w:trPr>
          <w:trHeight w:val="30" w:hRule="atLeast"/>
        </w:trPr>
        <w:tc>
          <w:tcPr>
            <w:tcW w:w="7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a"/>
                <w:sz w:val="20"/>
              </w:rPr>
              <w:t>Дата (месяц) торгов</w:t>
            </w:r>
          </w:p>
        </w:tc>
        <w:tc>
          <w:tcPr>
            <w:tcW w:w="11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a"/>
                <w:sz w:val="20"/>
              </w:rPr>
              <w:t>Время проведения торгов (по времени города Нур-Султан)</w:t>
            </w:r>
          </w:p>
        </w:tc>
        <w:tc>
          <w:tcPr>
            <w:tcW w:w="11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a"/>
                <w:sz w:val="20"/>
              </w:rPr>
              <w:t>Период приема документов для включения в реестр участников аукционных торгов</w:t>
            </w:r>
          </w:p>
        </w:tc>
        <w:tc>
          <w:tcPr>
            <w:tcW w:w="5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a"/>
                <w:sz w:val="20"/>
              </w:rPr>
              <w:t>Зона ЕЭС</w:t>
            </w:r>
          </w:p>
        </w:tc>
        <w:tc>
          <w:tcPr>
            <w:tcW w:w="5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a"/>
                <w:sz w:val="20"/>
              </w:rPr>
              <w:t>Тип ВИЭ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a"/>
                <w:sz w:val="20"/>
              </w:rPr>
              <w:t>Объем закупаемой установленной мощности, МВт</w:t>
            </w:r>
          </w:p>
        </w:tc>
        <w:tc>
          <w:tcPr>
            <w:tcW w:w="11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a"/>
                <w:sz w:val="20"/>
              </w:rPr>
              <w:t>Величина предельной аукционной цены, тг /кВт*ч</w:t>
            </w:r>
          </w:p>
        </w:tc>
        <w:tc>
          <w:tcPr>
            <w:tcW w:w="14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a"/>
                <w:sz w:val="20"/>
              </w:rPr>
              <w:t>Требуемая дата ввода в эксплуатацию, срок действия договора</w:t>
            </w:r>
          </w:p>
        </w:tc>
        <w:tc>
          <w:tcPr>
            <w:tcW w:w="14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a"/>
                <w:sz w:val="20"/>
              </w:rPr>
              <w:t>Финансовое обеспечение заявки на участие в аукционных торгах из расчета на 1 кВт установленной мощности проекта</w:t>
            </w:r>
          </w:p>
        </w:tc>
        <w:tc>
          <w:tcPr>
            <w:tcW w:w="14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a"/>
                <w:sz w:val="20"/>
              </w:rPr>
              <w:t>Финансовое обеспечение исполнения условий договора покупки из расчета на 1 кВт установленной мощности проекта</w:t>
            </w:r>
          </w:p>
        </w:tc>
        <w:tc>
          <w:tcPr>
            <w:tcW w:w="20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a"/>
                <w:sz w:val="20"/>
              </w:rPr>
              <w:t>Наличие документации (имеется/отсутствует)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a"/>
                <w:sz w:val="20"/>
              </w:rPr>
              <w:t>малой от 0,1 до 10 МВт включительно (для ВЭС от 0,75 МВт)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a"/>
                <w:sz w:val="20"/>
              </w:rPr>
              <w:t>крупные свыше 10 МВт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Таблица 1 с информацией о зарезервированных земельных участках для планируемых к строительству объектов по использованию возобновляемых источников энергии: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903"/>
        <w:gridCol w:w="1306"/>
        <w:gridCol w:w="870"/>
        <w:gridCol w:w="2467"/>
        <w:gridCol w:w="4356"/>
        <w:gridCol w:w="2178"/>
      </w:tblGrid>
      <w:tr>
        <w:trPr>
          <w:trHeight w:val="30" w:hRule="atLeast"/>
        </w:trPr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a"/>
                <w:sz w:val="20"/>
              </w:rPr>
              <w:t>№ п/п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a"/>
                <w:sz w:val="20"/>
              </w:rPr>
              <w:t>Область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a"/>
                <w:sz w:val="20"/>
              </w:rPr>
              <w:t>Район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a"/>
                <w:sz w:val="20"/>
              </w:rPr>
              <w:t>Населенный пункт</w:t>
            </w:r>
          </w:p>
        </w:tc>
        <w:tc>
          <w:tcPr>
            <w:tcW w:w="4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a"/>
                <w:sz w:val="20"/>
              </w:rPr>
              <w:t>Площадь земли, гектар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a"/>
                <w:sz w:val="20"/>
              </w:rPr>
              <w:t>Категория земли</w:t>
            </w:r>
          </w:p>
        </w:tc>
      </w:tr>
      <w:tr>
        <w:trPr>
          <w:trHeight w:val="30" w:hRule="atLeast"/>
        </w:trPr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</w:p>
        </w:tc>
        <w:tc>
          <w:tcPr>
            <w:tcW w:w="4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Таблица 2 с информацией о возможности подключения к точкам электрических сетей энергопередающих организаций с указанием ограничений по подключаемой мощности и по количеству новых подключений: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986"/>
        <w:gridCol w:w="1280"/>
        <w:gridCol w:w="852"/>
        <w:gridCol w:w="1849"/>
        <w:gridCol w:w="1849"/>
        <w:gridCol w:w="2560"/>
        <w:gridCol w:w="2704"/>
      </w:tblGrid>
      <w:tr>
        <w:trPr>
          <w:trHeight w:val="30" w:hRule="atLeast"/>
        </w:trPr>
        <w:tc>
          <w:tcPr>
            <w:tcW w:w="29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a"/>
                <w:sz w:val="20"/>
              </w:rPr>
              <w:t>Энергопередающая организация</w:t>
            </w:r>
          </w:p>
        </w:tc>
        <w:tc>
          <w:tcPr>
            <w:tcW w:w="12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a"/>
                <w:sz w:val="20"/>
              </w:rPr>
              <w:t>Область</w:t>
            </w:r>
          </w:p>
        </w:tc>
        <w:tc>
          <w:tcPr>
            <w:tcW w:w="8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a"/>
                <w:sz w:val="20"/>
              </w:rPr>
              <w:t>Район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a"/>
                <w:sz w:val="20"/>
              </w:rPr>
              <w:t>ЛЭП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a"/>
                <w:sz w:val="20"/>
              </w:rPr>
              <w:t>Подстанция</w:t>
            </w:r>
          </w:p>
        </w:tc>
        <w:tc>
          <w:tcPr>
            <w:tcW w:w="25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a"/>
                <w:sz w:val="20"/>
              </w:rPr>
              <w:t>Ограничение по подключаемой мощности (максимально допустимый объем установленной мощности), МВт</w:t>
            </w:r>
          </w:p>
        </w:tc>
        <w:tc>
          <w:tcPr>
            <w:tcW w:w="27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a"/>
                <w:sz w:val="20"/>
              </w:rPr>
              <w:t>Ограничение по количеству новых подключений (присоединений)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a"/>
                <w:sz w:val="20"/>
              </w:rPr>
              <w:t>Название, координаты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a"/>
                <w:sz w:val="20"/>
              </w:rPr>
              <w:t>Шины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Примечание: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расшифровка аббревиатур, используемых в настоящем приложении: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ЕЭС - единая энергетическая система;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ВИЭ - возобновляемые источники энергии;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ВЭС - ветровые электростанции;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ЛЭП - линии электропередачи;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МВт - мегаватт;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кВт - киловатт;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тг/кВт*ч - тенге/киловатт*час.</w:t>
      </w:r>
    </w:p>
    <w:p>
      <w:pPr>
        <w:spacing w:after="0"/>
        <w:ind w:left="0"/>
        <w:jc w:val="center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a"/>
          <w:sz w:val="28"/>
        </w:rPr>
        <w:t>Приложение 2 к приказу</w:t>
      </w:r>
      <w:r>
        <w:br/>
      </w:r>
      <w:r>
        <w:rPr>
          <w:rFonts w:ascii="Times New Roman"/>
          <w:b w:val="false"/>
          <w:i w:val="false"/>
          <w:color w:val="00000a"/>
          <w:sz w:val="28"/>
        </w:rPr>
        <w:t>министр энергетики</w:t>
      </w:r>
      <w:r>
        <w:br/>
      </w:r>
      <w:r>
        <w:rPr>
          <w:rFonts w:ascii="Times New Roman"/>
          <w:b w:val="false"/>
          <w:i w:val="false"/>
          <w:color w:val="00000a"/>
          <w:sz w:val="28"/>
        </w:rPr>
        <w:t>Республики Казахстан</w:t>
      </w:r>
      <w:r>
        <w:br/>
      </w:r>
      <w:r>
        <w:rPr>
          <w:rFonts w:ascii="Times New Roman"/>
          <w:b w:val="false"/>
          <w:i w:val="false"/>
          <w:color w:val="00000a"/>
          <w:sz w:val="28"/>
        </w:rPr>
        <w:t>от 9 марта 2021 года № 74</w:t>
      </w:r>
    </w:p>
    <w:p>
      <w:pPr>
        <w:spacing w:after="0"/>
        <w:ind w:left="0"/>
        <w:jc w:val="center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a"/>
          <w:sz w:val="28"/>
        </w:rPr>
        <w:t>Приложение 2</w:t>
      </w:r>
      <w:r>
        <w:br/>
      </w:r>
      <w:r>
        <w:rPr>
          <w:rFonts w:ascii="Times New Roman"/>
          <w:b w:val="false"/>
          <w:i w:val="false"/>
          <w:color w:val="00000a"/>
          <w:sz w:val="28"/>
        </w:rPr>
        <w:t>к Правилам организации и</w:t>
      </w:r>
      <w:r>
        <w:br/>
      </w:r>
      <w:r>
        <w:rPr>
          <w:rFonts w:ascii="Times New Roman"/>
          <w:b w:val="false"/>
          <w:i w:val="false"/>
          <w:color w:val="00000a"/>
          <w:sz w:val="28"/>
        </w:rPr>
        <w:t>проведения аукционных торгов,</w:t>
      </w:r>
      <w:r>
        <w:br/>
      </w:r>
      <w:r>
        <w:rPr>
          <w:rFonts w:ascii="Times New Roman"/>
          <w:b w:val="false"/>
          <w:i w:val="false"/>
          <w:color w:val="00000a"/>
          <w:sz w:val="28"/>
        </w:rPr>
        <w:t>включающие</w:t>
      </w:r>
      <w:r>
        <w:br/>
      </w:r>
      <w:r>
        <w:rPr>
          <w:rFonts w:ascii="Times New Roman"/>
          <w:b w:val="false"/>
          <w:i w:val="false"/>
          <w:color w:val="00000a"/>
          <w:sz w:val="28"/>
        </w:rPr>
        <w:t>квалификационные требования,</w:t>
      </w:r>
      <w:r>
        <w:br/>
      </w:r>
      <w:r>
        <w:rPr>
          <w:rFonts w:ascii="Times New Roman"/>
          <w:b w:val="false"/>
          <w:i w:val="false"/>
          <w:color w:val="00000a"/>
          <w:sz w:val="28"/>
        </w:rPr>
        <w:t>предъявляемые к участникам</w:t>
      </w:r>
      <w:r>
        <w:br/>
      </w:r>
      <w:r>
        <w:rPr>
          <w:rFonts w:ascii="Times New Roman"/>
          <w:b w:val="false"/>
          <w:i w:val="false"/>
          <w:color w:val="00000a"/>
          <w:sz w:val="28"/>
        </w:rPr>
        <w:t>аукциона, содержание и порядок</w:t>
      </w:r>
      <w:r>
        <w:br/>
      </w:r>
      <w:r>
        <w:rPr>
          <w:rFonts w:ascii="Times New Roman"/>
          <w:b w:val="false"/>
          <w:i w:val="false"/>
          <w:color w:val="00000a"/>
          <w:sz w:val="28"/>
        </w:rPr>
        <w:t>подачи заявки, виды</w:t>
      </w:r>
      <w:r>
        <w:br/>
      </w:r>
      <w:r>
        <w:rPr>
          <w:rFonts w:ascii="Times New Roman"/>
          <w:b w:val="false"/>
          <w:i w:val="false"/>
          <w:color w:val="00000a"/>
          <w:sz w:val="28"/>
        </w:rPr>
        <w:t>финансового обеспечения заявки</w:t>
      </w:r>
      <w:r>
        <w:br/>
      </w:r>
      <w:r>
        <w:rPr>
          <w:rFonts w:ascii="Times New Roman"/>
          <w:b w:val="false"/>
          <w:i w:val="false"/>
          <w:color w:val="00000a"/>
          <w:sz w:val="28"/>
        </w:rPr>
        <w:t>на участие в аукционе и условия</w:t>
      </w:r>
      <w:r>
        <w:br/>
      </w:r>
      <w:r>
        <w:rPr>
          <w:rFonts w:ascii="Times New Roman"/>
          <w:b w:val="false"/>
          <w:i w:val="false"/>
          <w:color w:val="00000a"/>
          <w:sz w:val="28"/>
        </w:rPr>
        <w:t>их внесения и возврата, порядок</w:t>
      </w:r>
      <w:r>
        <w:br/>
      </w:r>
      <w:r>
        <w:rPr>
          <w:rFonts w:ascii="Times New Roman"/>
          <w:b w:val="false"/>
          <w:i w:val="false"/>
          <w:color w:val="00000a"/>
          <w:sz w:val="28"/>
        </w:rPr>
        <w:t>подведения итогов и</w:t>
      </w:r>
      <w:r>
        <w:br/>
      </w:r>
      <w:r>
        <w:rPr>
          <w:rFonts w:ascii="Times New Roman"/>
          <w:b w:val="false"/>
          <w:i w:val="false"/>
          <w:color w:val="00000a"/>
          <w:sz w:val="28"/>
        </w:rPr>
        <w:t>определения победителей</w:t>
      </w:r>
    </w:p>
    <w:p>
      <w:pPr>
        <w:spacing w:after="0"/>
        <w:ind w:left="0"/>
        <w:jc w:val="center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a"/>
          <w:sz w:val="28"/>
        </w:rPr>
        <w:t>Форма</w:t>
      </w:r>
    </w:p>
    <w:p>
      <w:pPr>
        <w:spacing w:after="0"/>
        <w:ind w:left="0"/>
        <w:jc w:val="center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Реестр победителей аукционных торгов от «__» ______ 20__ года № 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9"/>
        <w:gridCol w:w="879"/>
        <w:gridCol w:w="1026"/>
        <w:gridCol w:w="2200"/>
        <w:gridCol w:w="2054"/>
        <w:gridCol w:w="1613"/>
        <w:gridCol w:w="1907"/>
        <w:gridCol w:w="1760"/>
        <w:gridCol w:w="2202"/>
      </w:tblGrid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a"/>
                <w:sz w:val="20"/>
              </w:rPr>
              <w:t>№ п/п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a"/>
                <w:sz w:val="20"/>
              </w:rPr>
              <w:t>Дата торгов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a"/>
                <w:sz w:val="20"/>
              </w:rPr>
              <w:t>Номер сделки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a"/>
                <w:sz w:val="20"/>
              </w:rPr>
              <w:t>Тип ВИЭ/объект энергетической утилизации отходов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a"/>
                <w:sz w:val="20"/>
              </w:rPr>
              <w:t>Наименование победителя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a"/>
                <w:sz w:val="20"/>
              </w:rPr>
              <w:t>Земельный участок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a"/>
                <w:sz w:val="20"/>
              </w:rPr>
              <w:t>Точка подключения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a"/>
                <w:sz w:val="20"/>
              </w:rPr>
              <w:t>Aукционная цена, тг/кВт*ч (без НДС)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a"/>
                <w:sz w:val="20"/>
              </w:rPr>
              <w:t>Установленная мощность, кВт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a"/>
                <w:sz w:val="20"/>
              </w:rPr>
              <w:t>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a"/>
                <w:sz w:val="20"/>
              </w:rPr>
              <w:t>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a"/>
                <w:sz w:val="20"/>
              </w:rPr>
              <w:t>ИТОГО: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Примечание: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расшифровка аббревиатур, используемых в настоящем приложении: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ВИЭ - возобновляемые источники энергии;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НДС - налог на добавленную стоимость;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тг/кВт*ч - тенге/киловатт*час;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кВт - киловатт.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