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aecd" w14:textId="64aa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февраля 2021 года № 11. Зарегистрировано в Министерстве юстиции Республики Казахстан 9 марта 2021 года № 22309.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"</w:t>
      </w:r>
      <w:r>
        <w:rPr>
          <w:rFonts w:ascii="Times New Roman"/>
          <w:b w:val="false"/>
          <w:i w:val="false"/>
          <w:color w:val="000000"/>
          <w:sz w:val="28"/>
        </w:rPr>
        <w:t>О Национальном Банке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 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целях совершенствования постановлений Правления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30 июня 2021 года включительно действие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8 мая 2015 года № 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"Әділет"), установив, что в период приостановления: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Приостановить до 31 марта 2021 года включительно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8 мая 2015 года № 75 "Об утверждении перечня, форм, сроков отчетности о выполнении пруденциальных нормативов банками второго уровня и Правил их представления" (зарегистрировано в Реестре государственной регистрации нормативных правовых актов под № 11162, опубликовано 2 июня 2015 года в информационно-правовой системе "Әділет"),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30 июня 2021 года включительно действие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приложения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26 ноября 2019 года № 211 "Об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представления" (зарегистрировано в Реестре государственной регистрации нормативных правовых актов под № 19672, опубликовано 9 декабря 2019 года в Эталонном контрольном банке нормативных правовых актов Республики Казахстан), установив, что в период приостановления данное приложение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Приостановить до 30 июня 2021 года включительно действие Таблиц 3, 4, 5 и 6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28 ноября 2019 года № 223 "Об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представления" (зарегистрировано в Реестре государственной регистрации нормативных правовых актов под № 19701, опубликовано 11 декабря 2019 года в Эталонном контрольном банке нормативных правовых актов Республики Казахстан), установив, что в период приостановления данные Таблицы действуют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7 настоящего постановления.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Департаменту информации и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двадцать пятого пункта 5 Перечня, который вводится в действие с 1 июля 2021 года.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</w:t>
      </w:r>
      <w:r>
        <w:rPr>
          <w:rFonts w:ascii="Times New Roman"/>
          <w:b/>
          <w:i w:val="false"/>
          <w:color w:val="000000"/>
          <w:sz w:val="28"/>
        </w:rPr>
        <w:t>Национального  Банка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                                         Е. </w:t>
      </w:r>
      <w:r>
        <w:rPr>
          <w:rFonts w:ascii="Times New Roman"/>
          <w:b/>
          <w:i w:val="false"/>
          <w:color w:val="000000"/>
          <w:sz w:val="28"/>
        </w:rPr>
        <w:t>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 _____________ 2020 года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февраля 2021 года № 11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</w:t>
      </w:r>
    </w:p>
    <w:bookmarkEnd w:id="11"/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65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ноября 2019 года № 211 "Об утверждении перечня, форм, сроков представления отчетности лицензиатами, осуществляющими деятельность на рынке ценных бумаг, единым оператором и Правил ее представления" (зарегистрированное в Реестре государственной регистрации нормативных правовых актов под № 19672, опубликовано 9 декабря 2019 года в Эталонном контрольном банке нормативных правовых актов Республики Казахстан) следующие изменения: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"2. Организации, осуществляющие деятельность по управлению инвестиционным портфелем (далее – управляющий инвестиционным портфелем), брокерскую и (или) дилерскую деятельность на рынке ценных бумаг (далее - брокеры и (или) дилеры), организатор торгов представляют в Национальный Банк Республики Казахстан (далее – Национальный Банк)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дополнение к отчетности, предусмотренной частью первой настоящего пункта, управляющий инвестиционным портфелем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Управляющий инвестиционным портфелем с правом привлечения добровольных пенсионных взносов (далее – добровольный накопительный пенсионный фонд) дополнительно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активами, заключенным с Национальным Банком, добровольный накопительный пенсионный фонд представляет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раздельно по активам единого накопительного пенсионного фонда и пенсионным активам, находящимся в управлении.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дополнение к отчетности, предусмотренной частью первой настоящего пункта, брокеры и (или) дилеры представляют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Брокеры и (или) дилеры дополнительно представляют в Национальный Банк в электронном формате, ежеквартально, не позднее последнего числа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Единый оператор представляет в Национальный Банк в электронном формате, ежеквартально, не позднее последнего числа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Кастодиан представляет в Национальный Банк в электронном формате ежеквартально, не позднее последнего рабочего дня месяца, следующего за отчетным кварталом,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Кастодиан добровольного накопительного пенсионного фонда дополнительно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Организатор торгов представляет в Национальный Банк в электронном формате, ежедневно, до конца следующего рабочего дня,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Организатор торгов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Клиринговая организация представляет в Национальный Банк в электронном формате, ежедневно, до конца следующего рабочего дня,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Клиринговая организация представляет в Национальный Банк в электронном формате, ежемесячно, не позднее пятого рабочего дня месяца, следующего за отчетным месяцем,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Добровольный накопительный пенсионный фонд, обладающий лицензией на осуществление брокерской и (или) дилерской деятельности, не представляет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Банки второго уровня и Национальный оператор почты, обладающие лицензией на осуществление брокерской и (или) дилерской деятельности на рынке ценных бумаг, не представляют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Брокеры и (или) дилеры без права ведения счетов клиентов не представляют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Управляющий инвестиционным портфелем, обладающий лицензией на занятие брокерской и (или) дилерской деятельностью на рынке ценных бумаг, не представляет в Национальный Банк отчетность в соответствии с таблицей 1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Организатор торгов, не менее двадцати пяти процентов от общего количества голосующих акций которого принадлежат Национальному Банку, не представляет в Национальный Банк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Страховые (перестраховочные) организации, имеющие лицензию на осуществление деятельности по управлению инвестиционным портфелем, не представляют в Национальный Банк отчетность в соответствии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Золотовалютные активы Национального Банка и активы Национального фонда Республики Казахстан, переданные в доверительное управление, не указываются управляющим инвестиционным портфелем при заполнении форм,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пояснения по заполнению формы административных данных дополнить пунктом 15-1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"15-1. В графе 15 указываются примечания в случае отказа в переводе обязательств на исполнение расчетов с участием кастодиана.";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Утратил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РКот 19.12.2022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bookmarkStart w:name="z109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административных данных размещена на интернет-ресурсе: www.nationalbank.kz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структуре принятой в работу задолженности (по договору </w:t>
      </w:r>
      <w:r>
        <w:rPr>
          <w:rFonts w:ascii="Times New Roman"/>
          <w:b/>
          <w:i w:val="false"/>
          <w:color w:val="000000"/>
          <w:sz w:val="28"/>
        </w:rPr>
        <w:t>о  досудебном</w:t>
      </w:r>
      <w:r>
        <w:rPr>
          <w:rFonts w:ascii="Times New Roman"/>
          <w:b/>
          <w:i w:val="false"/>
          <w:color w:val="000000"/>
          <w:sz w:val="28"/>
        </w:rPr>
        <w:t xml:space="preserve"> 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количество (штук)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 отчетном периоде договоры о досудебном взыскании задолженности с кредиторами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принятые в отчетном периоде в работу о взыскании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 о досудебном взыскании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договоры, задолженность по которым принята в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задолженности, принятой в работу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задолженности, возвращенной кредитору в отчетном периоде,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задолженности, принятой в работу на конец отчетного периода,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 Телефон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 Исполнитель__________________________________________________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структуре принятой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работу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договору о досудебном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структуре принятой в работу задолженности (по договору </w:t>
      </w:r>
      <w:r>
        <w:rPr>
          <w:rFonts w:ascii="Times New Roman"/>
          <w:b/>
          <w:i w:val="false"/>
          <w:color w:val="000000"/>
          <w:sz w:val="28"/>
        </w:rPr>
        <w:t>о  досудебном</w:t>
      </w:r>
      <w:r>
        <w:rPr>
          <w:rFonts w:ascii="Times New Roman"/>
          <w:b/>
          <w:i w:val="false"/>
          <w:color w:val="000000"/>
          <w:sz w:val="28"/>
        </w:rPr>
        <w:t xml:space="preserve"> взыскании задолженности)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КА_2,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принятой в работу задолженности (по договору о досудебном взыскании задолженности)"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количествах и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1 указывается количество договоров о взыскании задолженности в досудебном порядке, заключенных коллекторским агентством с кредиторами в течение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2 таблицы 1 указывается количество договоров, задолженность по которым принята в течение отчетного квартала в работу в рамках заключенных коллекторским агентством с кредиторами договоров о взыскании задолженности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Например: коллекторским агентством в течение отчетного квартала заключено 2 договора с банками о досудебном взыскании задолженности, в рамках данных договоров банком в том же периоде передана задолженность по 300 договорам банковского займа. В данном случае в строке 1 столбца 3 указывается "2", а в строке 2 столбца 3 - "300".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3 таблицы 1 указывается количество действующих на конец отчетного квартала договоров о взыскании задолженности в досудебном порядке, заключенных коллекторским агентством с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4 таблицы 1 указывается количество действующих на конец отчетного квартала договоров, задолженность по которым принята в работу в рамках заключенных коллекторским агентством с кредиторами договоров о взыскании задолженности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строках 1 и 2 таблицы 2 указывается объем прав требований, принятых в течение отчетного квартала в работу по договорам о взыскании задолженности, и сумма взысканной в течение отчетного квартала задолженности по таким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строке 3 таблицы 2 указывается объем задолженности, возвращенной кредитору в течение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4 таблицы 2 указывается текущий остаток задолженности, принятой в работу по договорам о взыскании задолженности, на конец отчетного квартала.</w:t>
      </w:r>
    </w:p>
    <w:p>
      <w:pPr>
        <w:spacing w:after="0"/>
        <w:ind w:left="0"/>
        <w:jc w:val="both"/>
      </w:pPr>
      <w:bookmarkStart w:name="z111" w:id="15"/>
      <w:r>
        <w:rPr>
          <w:rFonts w:ascii="Times New Roman"/>
          <w:b w:val="false"/>
          <w:i w:val="false"/>
          <w:color w:val="000000"/>
          <w:sz w:val="28"/>
        </w:rPr>
        <w:t>
      Приложение 17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структуре приобретенной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количество (штук)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коммерческие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в отчетном периоде договоры уступки права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в отчетном периоде у кредиторов права требования должников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проданные (возвращенные) договоры уступки прав требований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Возвращенные права требования должников в отчетном периоде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 уступки прав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на конец отчетного периода договоры, права требования по которым уступлены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коммерческие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физические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обратно возвращенной задолженности в отчетном периоде,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структуре приобретенной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структуре приобретенной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КА_3,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приобретенной задолженности"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количествах и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таблицы 1 указывается количество договоров уступки прав требования, заключенных коллекторским агентством с кредиторами в течение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строке 2 таблицы 1 указывается количество договоров, права требования по которым приобретены коллекторским агентством в течение отчетного квартала в рамках заключенных с кредиторами договоров уступки права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строке 5 таблицы 1 указывается количество действующих на конец отчетного квартала договоров уступки прав требования, заключенных коллекторским агентством с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строке 6 таблицы 1 указывается количество действующих на конец отчетного квартала договоров, права требования по которым приобретены коллекторским агентством в рамках заключенных с кредиторами договоров уступки прав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строках 1 и 2 таблицы 2 указывается объем приобретенных в течение отчетного квартала прав требования по договорам уступки прав требования и сумма взысканной в течение отчетного квартала задолженности по таким договорам.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4 таблицы 2 указывается текущий остаток прав требований, приобретенных по договорам уступки прав требования, на конец отчетного квартала.</w:t>
      </w:r>
    </w:p>
    <w:p>
      <w:pPr>
        <w:spacing w:after="0"/>
        <w:ind w:left="0"/>
        <w:jc w:val="both"/>
      </w:pPr>
      <w:bookmarkStart w:name="z112" w:id="16"/>
      <w:r>
        <w:rPr>
          <w:rFonts w:ascii="Times New Roman"/>
          <w:b w:val="false"/>
          <w:i w:val="false"/>
          <w:color w:val="000000"/>
          <w:sz w:val="28"/>
        </w:rPr>
        <w:t>
      Приложение 18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об основных источниках 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 (указать какие)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(до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(свыше 1 года)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источника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 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  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основных источниках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об основных источниках привлеченных денег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КА_4,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агентством. Данные в Форме указываются в тысячах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Формы, коллекторские агентства раскрывают десять крупнейших кредиторов организации в разрезе физических и юридических лиц (крупнейшими кредиторами организации являются организации, предоставившие наибольший размер кредита по сравнению с остальными, в порядке убывания). При этом, если у коллекторского агентства имеются обязательства перед юридическим лицом, которое входит в число десяти крупнейших кредиторов коллекторского агентства и обязательства перед крупными акционерами/дочерними организациями данного лица, необходимо также указывать сведения по крупным акционерам/дочерним организациям в соответствующих подпунктах.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случае если у коллекторского агентства имеются обязательства перед юридическим лицом и его крупными акционерами/дочерними организациями, которые в совокупности входят в число десяти крупнейших кредиторов, коллекторскому агентству необходимо указывать сведения по данному лицу и его крупным акционерам/дочерним организациям.</w:t>
      </w:r>
    </w:p>
    <w:p>
      <w:pPr>
        <w:spacing w:after="0"/>
        <w:ind w:left="0"/>
        <w:jc w:val="both"/>
      </w:pPr>
      <w:bookmarkStart w:name="z113" w:id="17"/>
      <w:r>
        <w:rPr>
          <w:rFonts w:ascii="Times New Roman"/>
          <w:b w:val="false"/>
          <w:i w:val="false"/>
          <w:color w:val="000000"/>
          <w:sz w:val="28"/>
        </w:rPr>
        <w:t>
      Приложение 19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июня 2017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принятых займах, в том числе, по которым имеется </w:t>
      </w:r>
      <w:r>
        <w:rPr>
          <w:rFonts w:ascii="Times New Roman"/>
          <w:b/>
          <w:i w:val="false"/>
          <w:color w:val="000000"/>
          <w:sz w:val="28"/>
        </w:rPr>
        <w:t>просроченная  задолженность</w:t>
      </w:r>
      <w:r>
        <w:rPr>
          <w:rFonts w:ascii="Times New Roman"/>
          <w:b/>
          <w:i w:val="false"/>
          <w:color w:val="000000"/>
          <w:sz w:val="28"/>
        </w:rPr>
        <w:t xml:space="preserve"> по основному долгу и (или) 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КА_5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коллекторское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представления: ежеквартально, не позднее десятого числа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Неустойки (штрафы/пеня)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субъектам крупного предпринимательства,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субъектам малого и среднего предпринимательства,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индивидуальным предпринимателям,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выданные кредитором физическим лицам,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займы,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90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180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181 дня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принятых займах,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числе, по которым имеется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просроченная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основному долгу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принятых займах, в том числе, по которым имеется </w:t>
      </w:r>
      <w:r>
        <w:rPr>
          <w:rFonts w:ascii="Times New Roman"/>
          <w:b/>
          <w:i w:val="false"/>
          <w:color w:val="000000"/>
          <w:sz w:val="28"/>
        </w:rPr>
        <w:t>просроченная  задолженность</w:t>
      </w:r>
      <w:r>
        <w:rPr>
          <w:rFonts w:ascii="Times New Roman"/>
          <w:b/>
          <w:i w:val="false"/>
          <w:color w:val="000000"/>
          <w:sz w:val="28"/>
        </w:rPr>
        <w:t xml:space="preserve"> по основному долгу и (или) начисленному вознаграждению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 – КА_5, периодичность –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принятых займах, в том числе, по которым имеется просроченная задолженность по основному долгу и (или) начисленному вознаграждению"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коллекторской деятельности".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ежеквартально коллекторским агентством по состоянию на конец отчетного периода. Данные в Форме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займах, по которым имеется просроченная задолженность по основному долгу и (или) начисленному вознаграждению, принятых в работу по договорам о взыскании задолженности. Данные в Форме приводятся с разбивкой дней просроченной задолженности по основному долгу и (или) начисленному вознаграждению, на конец отчетного периода.</w:t>
      </w:r>
    </w:p>
    <w:p>
      <w:pPr>
        <w:spacing w:after="0"/>
        <w:ind w:left="0"/>
        <w:jc w:val="both"/>
      </w:pPr>
      <w:bookmarkStart w:name="z114" w:id="18"/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об организации, обладающей лицензией на </w:t>
      </w:r>
      <w:r>
        <w:rPr>
          <w:rFonts w:ascii="Times New Roman"/>
          <w:b/>
          <w:i w:val="false"/>
          <w:color w:val="000000"/>
          <w:sz w:val="28"/>
        </w:rPr>
        <w:t>осуществление  брокерской</w:t>
      </w:r>
      <w:r>
        <w:rPr>
          <w:rFonts w:ascii="Times New Roman"/>
          <w:b/>
          <w:i w:val="false"/>
          <w:color w:val="000000"/>
          <w:sz w:val="28"/>
        </w:rPr>
        <w:t xml:space="preserve"> и (или) дилерской деятельности на рынке ценных бумаг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RCB_SVED_BD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брокеры и (или) дилеры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работниках, участвующих в осуществлении брокерской и (или) дилерской деятельности на рынке ценных бумаг (фамилия, имя, при наличии - отчество, занимаемая должность, дата приема на работу)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инвестиционного комитета, осуществляющего принятие инвестиционных решений в отношении собственных активов организации на отчетную дату, избранного исполнительным органом (фамилия, имя, при наличии отчество, занимаемая должность, дата и номер решения об избрании в состав инвестиционного комитета, с какой даты работник включен в состав инвестиционного комитета)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правления (фамилия, имя, при наличии отчество, занимаемая должность, дата и номер решения об избрании в состав правления, дата включения в состав)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составе совета директоров (фамилия, имя, при наличии отчество, занимаемая должность, дата и номер решения об избрании в состав совета директоров, даты включения в состав)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владеющих десятью и более процентами голосующих акций (десятью и более процентами долей участия в уставном капитале)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резиденты: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лица: наименование юридического лица; сведения о государственной (пере)регистрации юридического лица; бизнес- идентификационный номер; соотношение количества акций, принадлежащих юридическому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лица: фамилия, имя, при наличии - отчество; дата рождения; соотношение количества акций, принадлежащих физическому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нерезиденты: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юридического лица: наименование юридического лица; почтовый адрес и (или) место регистрации и нахождения юридического лица (в случае если юридическое лицо зарегистрировано на территории оффшорной зоны, то указывается данная оффшорная зона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(зарегистрированным в Реестре государственной регистрации нормативных правовых актов под № 20095); соотношение количества акций, принадлежащих юридическому лицу, к общему количеству голосующих акций организации или доля участия в уставном капитале организации (в процентах);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лица: фамилия, имя, при наличии - отчество; гражданство; юридический адрес и (или) место жительства; соотношение количества акций, принадлежащих физическому лицу, к общему количеству голосующих акций организации или доля участия в уставном капитале организации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действующих договоров, заключенных с клиентами, в рамках оказания брокерских услуг на отчетную дату: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об оказании брокерских услуг, не предусматривающих предоставление услуг номинального держания;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об оказании брокерских услуг, предусматривающих предоставление услуг номинального 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участников рынка ценных бумаг, с которыми у организации заключены договоры на оказание ей услуг по профессиональной деятельности на рынке ценных бумаг, действующие на отчетную дату: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(дополнительного соглашения);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услуг(и), представляемых(ой) организации в рамках заключенного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сведений об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обладающей лицензией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брокерской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дилерской деятельности на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ценных бумаг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"Сведения об организации, обладающей лицензией на </w:t>
      </w:r>
      <w:r>
        <w:rPr>
          <w:rFonts w:ascii="Times New Roman"/>
          <w:b/>
          <w:i w:val="false"/>
          <w:color w:val="000000"/>
          <w:sz w:val="28"/>
        </w:rPr>
        <w:t>осуществление  брокерской</w:t>
      </w:r>
      <w:r>
        <w:rPr>
          <w:rFonts w:ascii="Times New Roman"/>
          <w:b/>
          <w:i w:val="false"/>
          <w:color w:val="000000"/>
          <w:sz w:val="28"/>
        </w:rPr>
        <w:t xml:space="preserve"> и (или) дилерской деятельности на рынке ценных бумаг  Республики Казахстан" (индекс: 1- RCB_SVED_BD,  периодичность: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"Сведения об организации, обладающей лицензией на осуществление брокерской и (или) дилерской деятельности на рынке ценных бумаг Республики Казахстан"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ежеквартально брокером и (или) дилером.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Строки 2, 3, 4 и 5 не заполняется банком второго уровня, обладающим лицензией на осуществление брокерской и (или) дилерской деятельности на рынке ценных бумаг и Национальным оператором почты.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Строка 6 не заполняется добровольным накопительным пенсионным фондом, обладающим лицензией на осуществление брокерской и (или) дилерской деятельности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случае отсутствия сведений, соответствующие графы не заполняются.</w:t>
      </w:r>
    </w:p>
    <w:p>
      <w:pPr>
        <w:spacing w:after="0"/>
        <w:ind w:left="0"/>
        <w:jc w:val="both"/>
      </w:pPr>
      <w:bookmarkStart w:name="z115" w:id="19"/>
      <w:r>
        <w:rPr>
          <w:rFonts w:ascii="Times New Roman"/>
          <w:b w:val="false"/>
          <w:i w:val="false"/>
          <w:color w:val="000000"/>
          <w:sz w:val="28"/>
        </w:rPr>
        <w:t>
      Приложение 21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ценных бумагах, выпущенных в соответствии с </w:t>
      </w:r>
      <w:r>
        <w:rPr>
          <w:rFonts w:ascii="Times New Roman"/>
          <w:b/>
          <w:i w:val="false"/>
          <w:color w:val="000000"/>
          <w:sz w:val="28"/>
        </w:rPr>
        <w:t>законодательством  иностранного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государства, находящихся в номинальном держании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RCB_NOM_DER_IN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брокеры и (или) дилеры; единый оператор; кастодианы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иностранного номинального держателя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номинального держателя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ценных бумаг, выпущенных в соответствии с законодательством иностранного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выпущенных в соответствии с законодательством иностранного государства, находящихся на счетах клиентов брокера, являющегося номинальным держателем по состоянию на конец отчетного периода (штук)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ценных бумагах,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выпущенных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номинальном держании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"Отчет о ценных бумагах, выпущенных в соответствии с </w:t>
      </w:r>
      <w:r>
        <w:rPr>
          <w:rFonts w:ascii="Times New Roman"/>
          <w:b/>
          <w:i w:val="false"/>
          <w:color w:val="000000"/>
          <w:sz w:val="28"/>
        </w:rPr>
        <w:t>законодательством  иностранного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государства, находящихся в номинальном держании"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RCB_NOM_DER_IN, периодичность: ежеквартальная)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ценных бумагах, выпущенных в соответствии с законодательством иностранного государства, находящихся в номинальном держании"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ежеквартально брокером и (или) дилером, единым оператором, кастодианом.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ими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наименование иностранного номинального держателя, который оказывает услуги номинального держания ценных бумаг эмитентов-нерезидентов Республики Казахстан организациям, указанным в графе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5 указывается наименование организации, которая оказывает услуги по номинальному держанию ценных бумаг эмитентов-нерезидентов Республики Казахстан брокеру и (или) дилеру (банк – кастодиан, центральный депозитарий ценных бумаг и прочие расчетные организации).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Кастодиан указывает наименования брокера, являющегося номинальным держателем, которому он оказывает услуги по номинальному держанию ценных бумаг эмитентов-нерезидентов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6 указывается наименование конечного собственника ценных бумаг (фамилия, имя (при наличии – отчество) для физического лица, наименование для юридического лица) – клиента брокера и (или) дилера, единого оператора, кастодиана, являющегося номинальным держателем.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6" w:id="20"/>
      <w:r>
        <w:rPr>
          <w:rFonts w:ascii="Times New Roman"/>
          <w:b w:val="false"/>
          <w:i w:val="false"/>
          <w:color w:val="000000"/>
          <w:sz w:val="28"/>
        </w:rPr>
        <w:t>
      Приложение 22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выполнении </w:t>
      </w:r>
      <w:r>
        <w:rPr>
          <w:rFonts w:ascii="Times New Roman"/>
          <w:b/>
          <w:i w:val="false"/>
          <w:color w:val="000000"/>
          <w:sz w:val="28"/>
        </w:rPr>
        <w:t>пруденциальных</w:t>
      </w:r>
      <w:r>
        <w:rPr>
          <w:rFonts w:ascii="Times New Roman"/>
          <w:b/>
          <w:i w:val="false"/>
          <w:color w:val="000000"/>
          <w:sz w:val="28"/>
        </w:rPr>
        <w:t xml:space="preserve"> нормативов </w:t>
      </w:r>
      <w:r>
        <w:rPr>
          <w:rFonts w:ascii="Times New Roman"/>
          <w:b/>
          <w:i w:val="false"/>
          <w:color w:val="000000"/>
          <w:sz w:val="28"/>
        </w:rPr>
        <w:t>организациями,  осуществляющими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инвестиционным портфелем и (или)  брокерскую и (или) 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К1_BD-UIP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управляющие инвестиционным портфелем; брокеры и (или) дилеры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 (в процентах)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вклады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1.9 и 1.10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1.11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Организации, являющиеся взносами в гарантийные или резервные фонды клиринговой организации (центрального контрагента), маржевыми взносами, полным и (или) частичным обеспечением исполнения обязательств по сделкам, заключенным в торговой системе фондовой биржи методом открытых торгов и (или)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банках-нерезидентах Республики Казахстан, имеющих долгосрочный кредитный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на счетах в организациях-нерезидентах Республики Казахстан, осуществляющих функции, установленные пунктом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 июля 2003 года "О рынке ценных бумаг", имеющих долгосрочный кредитный рейтинг не ниже "ВВВ"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счетах в организациях-нерезидентах Республики Казахстан, являющихся членом Международной ассоциации по вопросам обслуживания ценных бумаг (International Securities Services Association)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включенными в категорию "премиум" сектора "акции" площадки "Основная" официального списка фондовой биржи, или эмитентами, акции которых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"B"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"kzBB+" по национальной шкале Standard &amp; Poor's,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Standard &amp; Poor's или рейтинг аналогичного уровня одного из других рейтинговых агентств, или рейтинг от "kzBB"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Standard &amp; Poor's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- всего,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"Самрук-Казына",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Standard &amp; Poor's или рейтинг аналогичного уровня одного из других рейтинговых агентств, или рейтинг не ниже "kzA-"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Standard &amp; Poor's или рейтинг аналогичного уровня одного из других рейтинговых агентств, или рейтинг от "kzBBB+" до "kzBB-" по национальной шкале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международную рейтинг не ниже "АА-" агентства Standard &amp; Poor's или рейтинг аналогичного уровня одного из других рейтинговых агентств,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Standard &amp; Poor's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Standard &amp; Poor's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3.4 настоящего приложения.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Standard &amp; Poor's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Exchange Traded Funds (ETF), Exchange Traded Commodities (ETC), Exchange Traded Notes (ETN), имеющие рейтинговую оценку не ниже "3 звезды" рейтингового агентства Morningstar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(за исключением дебиторской задолженности аффилированных лиц Организации) по начисленному, но не выплаченному комиссионному вознаграждению в рамках осуществления профессиональной деятельности на рынке ценных бумаг (не просроченная по условиям договора) - в сумме, не превышающей 10 (десять)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Организации в виде недвижимого имущества в сумме, не превышающей 5 (пяти) процентов от суммы активов по балансу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ликвидные активы (ЛA)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собственного капитала (МРСК)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ликвидности (Кл)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Адрес__________________________________________________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 Исполнитель_____________________________________________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выполнении пруденциальных нормативов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организациями, осуществляющими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инвестиционным портфелем и (или) брокерскую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дилерскую деятельность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"Отчет о выполнении </w:t>
      </w:r>
      <w:r>
        <w:rPr>
          <w:rFonts w:ascii="Times New Roman"/>
          <w:b/>
          <w:i w:val="false"/>
          <w:color w:val="000000"/>
          <w:sz w:val="28"/>
        </w:rPr>
        <w:t>пруденциальных</w:t>
      </w:r>
      <w:r>
        <w:rPr>
          <w:rFonts w:ascii="Times New Roman"/>
          <w:b/>
          <w:i w:val="false"/>
          <w:color w:val="000000"/>
          <w:sz w:val="28"/>
        </w:rPr>
        <w:t xml:space="preserve"> нормативов </w:t>
      </w:r>
      <w:r>
        <w:rPr>
          <w:rFonts w:ascii="Times New Roman"/>
          <w:b/>
          <w:i w:val="false"/>
          <w:color w:val="000000"/>
          <w:sz w:val="28"/>
        </w:rPr>
        <w:t>организациями,  осуществляющими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управление инвестиционным портфелем и (или)  брокерскую и (или) дилерскую деятельность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К1_BD-UIP, периодичность: ежемесячная)"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выполнении пруденциальных нормативов организациями, осуществляющими управление инвестиционным портфелем и (или) брокерскую и (или) дилерскую деятельность на рынке ценных бумаг"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заполняется ежемесячно на конец отчетного периода управляющим инвестиционным портфелем, брокером и (или) дилером.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подписывают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соответствии финансового инструмента двум или более критериям, установленным Формой, категория финансового инструмента устанавливается Организацией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Основные средства в виде недвижимого имущества Организации, указанные в строке 5.4, учитываются в расчете пруденциальных нормативов в объеме 100 (ста) процентов от наименьшей величины из балансовой и рыночной стоимостей.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определения рыночной стоимости основных средств, учитываемых при расчете пруденциальных нормативов, Организация проводит оценку их стоимости у оценщика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заполняются данные на конец последнего календарного дня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5 заполняется сумма к расчету на конец последнего календарного дня отчетного периода, рассчитанная как произведение данных, указанных в графах 3 и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строке 9 заполняется значение коэффициента достаточности собственного капитала, рассчитанное как отношение разницы ликвидных активов и обязательств по балансу к минимальному размеру собственного капитала.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строке 10 заполняется значение коэффициента ликвидности, рассчитанное как отношение ликвидных активов к обязательствам по балансу. Данная строка не заполняется добровольным накопительным пенсионным фондом.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7" w:id="21"/>
      <w:r>
        <w:rPr>
          <w:rFonts w:ascii="Times New Roman"/>
          <w:b w:val="false"/>
          <w:i w:val="false"/>
          <w:color w:val="000000"/>
          <w:sz w:val="28"/>
        </w:rPr>
        <w:t>
      Приложение 23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KASE_PSS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по долговым ценным бумагам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(ID)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Адрес___________________________________________________ Телефон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 Исполнитель_____________________________________________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 покупку/продажу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"Отчет о заявках на покупку/продажу ценных бумаг" (индекс: 1- KASE_PSS,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покупку/продажу ценных бумаг"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20 указываются дата подачи и дата снятия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графах 3 и 21 указываются время подачи и время снятия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указывается тип заявки: "limit" - лимитированная заявка, "market" - рыночная заявка, "nego" - прямая заявка.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вид рынка: "Tbills" - рынок государственных ценных бумаг, "Equities" - рынок акций, "Debts" - рынок облигаций.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указывается валюта котирования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графах 10 и 14 цена за одну ценную бумагу с точностью котирования, определенной организатором торгов в соответствии с его внутренними документами, и объем заявки указываются в тенге. В качестве объема заявки признается произведение граф 10 ("Цена") и 13 ("Количество"). В графе 10 указывается цена, по которой участник торгов готов купить (продать) ценную бумагу.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графах 11 и 12 чистая цена с точностью котирования, определенной организатором торгов в соответствии с его внутренними документами, и доходность, по которым участник торгов готов купить (продать) долговую ценную бумагу, указываются в процентах. Графы 11 и 12 заполняются по долговым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13 количество ценных бумаг заявки указывается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15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графе 16 указывается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17 указывается персональный идентификационный номер (ID) трейдера фондовой биржи, подавшего заявку на заключение сделок.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18 в качестве признака заявки указывается цифра: "0" - если заявка подана не маркет-мейкером, "1" - если заявка подана участником торгов в целях исполнения функций маркет-мейкера по поддержанию котировок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19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22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22 указываются с четырьмя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графе 23 указывается средневзвешенная рыночная цена акции или средневзвешенная рыночная доходность облигации к погашению на дату 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 графе 24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24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результатах торгов ценными бумагами с указанием сторон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KASE_ST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рынка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торгов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цена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по долговым ценным бумагам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долговых ценных бумаг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покупки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 Адрес_____________________________________________________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 Исполнитель___________________________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указанием сторон сделок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"Отчет о результатах торгов ценными бумагами с указанием сторон сделок"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KASE_ST,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результатах торгов ценными бумагами с указанием сторон сделок"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заключения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заключения сделки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типа рынка указывается цифра: "0" - если сделка по купле-продаже ценных бумаг заключена на вторичном рынке ценных бумаг, "1" - если сделка по купле-продаже ценных бумаг заключена на первичном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в качестве метода торгов указывается цифра: "0" - если сделка по купле-продаже ценных бумаг заключена методом непрерывного встречного аукциона, "1" - если сделка по купле-продаже ценных бумаг заключена методом заключения прямых (адресных) сделок, "2" - если сделка по купле-продаже ценных бумаг заключена методом фиксинга, "3" - если сделка по купле-продаже ценных бумаг заключена методом франкфуртских торгов, "4" - если сделка по купле-продаже ценных бумаг заключена методом специализированных торгов, "5" - если сделка по купле-продаже ценных бумаг заключена методом английских торгов, "6" - сделка по купле-продаже ценных бумаг заключена методом голландских торгов, "7" если сделка по купле-продаже ценных бумаг заключена методом подписки; "8" - если сделка по купле-продаже ценных бумаг заключена методом дискретных торгов; "9" – иные методы, предусмотренные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вид рынка,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указывается валюта котирования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графах 10 и 15 цена за одну ценную бумагу с точностью котирования, определенной организатором торгов в соответствии с его внутренними документами, и объем сделки указываются в тенге. В качестве объема сделки признается произведение граф 10 ("Цена") и 14 ("Количество"). В графе 10 указывается цена, по которой участник торгов заключил сделку с ценной бумагой.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графах 11 и 12 чистая цена и доходность с точностью котирования, определенной организатором торгов в соответствии с его внутренними документами, по которым участник торгов заключил сделку с долговой ценной бумагой, указываются в процентах. Графы 11 и 12 заполняются по долговым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14 количество ценных бумаг сделки указывается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16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графах 17 и 20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22 указывается статус сделки,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24 указывается рыночная цена ценной бумаги на дату заключения сделки, определенная организатором торгов в соответствии с методикой оценки ценных бумаг, предусмотренной его внутренними документами. Для облигаций указывается рыночная цена в процентах к номинальной стоимости. Данные в графе 24 указываются с четырьмя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25 указывается средневзвешенная рыночная цена акции или средневзвешенная рыночная доходность облигации к погашению на дату заключения сделки,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погашению, установленным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26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19" w:id="23"/>
      <w:r>
        <w:rPr>
          <w:rFonts w:ascii="Times New Roman"/>
          <w:b w:val="false"/>
          <w:i w:val="false"/>
          <w:color w:val="000000"/>
          <w:sz w:val="28"/>
        </w:rPr>
        <w:t>
      Приложение 25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заявках на операции </w:t>
      </w:r>
      <w:r>
        <w:rPr>
          <w:rFonts w:ascii="Times New Roman"/>
          <w:b/>
          <w:i w:val="false"/>
          <w:color w:val="000000"/>
          <w:sz w:val="28"/>
        </w:rPr>
        <w:t>репо</w:t>
      </w:r>
      <w:r>
        <w:rPr>
          <w:rFonts w:ascii="Times New Roman"/>
          <w:b/>
          <w:i w:val="false"/>
          <w:color w:val="000000"/>
          <w:sz w:val="28"/>
        </w:rPr>
        <w:t xml:space="preserve">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KASE_ABR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(ID)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дисконта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Адрес_____________________________________________________ 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операции репо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"Отчет о заявках на операции </w:t>
      </w:r>
      <w:r>
        <w:rPr>
          <w:rFonts w:ascii="Times New Roman"/>
          <w:b/>
          <w:i w:val="false"/>
          <w:color w:val="000000"/>
          <w:sz w:val="28"/>
        </w:rPr>
        <w:t>репо</w:t>
      </w:r>
      <w:r>
        <w:rPr>
          <w:rFonts w:ascii="Times New Roman"/>
          <w:b/>
          <w:i w:val="false"/>
          <w:color w:val="000000"/>
          <w:sz w:val="28"/>
        </w:rPr>
        <w:t xml:space="preserve"> с ценными бумагами"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KASE_ABR,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заявках на операции репо с ценными бумагами"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18 указываются дата подачи и дата снятия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графах 3 и 19 указываются время подачи и время снятия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указывается способ сделки: "прямое репо" или "автоматическое репо".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в качестве кода инструмента операции репо указывается код, определенный организатором торгов в соответствии с порядком кодировки инструментов операции репо,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код ценной бумаги, определенный организатором торгов в соответствии с порядком кодировки ценных бумаг,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указывается валюта котирования ценной бумаги.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графах 10 и 13 цена за одну ценную бумагу с точностью котирования, определенной организатором торгов в соответствии с его внутренними документами, и объем заявки указываются в тенге. В качестве объема заявки признается произведение граф 10 ("Цена") и 12 ("Количество"). При подаче заявки на покупку по операциям автоматическое репо в качестве объема заявки признается объем денег. В графе 10 указывается цена, по которой участник торгов готов совершить операцию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графе 11 указывается доходность с точностью котирования, определенной организатором торгов в соответствии с его внутренними документами, по которой участник торгов готов провести операцию репо,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12 указывается количество ценных бумаг (в штуках), выставляемых продавцом ценных бумаг операции "прямое (автоматическое) репо".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14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графе 15 указывается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16 указывается персональный идентификационный номер (ID) трейдера фондовой биржи, подавшего заявку на заключение операции репо с ценными бумагами.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17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20 указывается срок операции репо, определенный организатором торгов в соответствии с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21 указывается ставка дисконтирования, примененная к цене инструмента, являющегося предметом операции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графе 22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0" w:id="24"/>
      <w:r>
        <w:rPr>
          <w:rFonts w:ascii="Times New Roman"/>
          <w:b w:val="false"/>
          <w:i w:val="false"/>
          <w:color w:val="000000"/>
          <w:sz w:val="28"/>
        </w:rPr>
        <w:t>
      Приложение 26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об операциях </w:t>
      </w:r>
      <w:r>
        <w:rPr>
          <w:rFonts w:ascii="Times New Roman"/>
          <w:b/>
          <w:i w:val="false"/>
          <w:color w:val="000000"/>
          <w:sz w:val="28"/>
        </w:rPr>
        <w:t>репо</w:t>
      </w:r>
      <w:r>
        <w:rPr>
          <w:rFonts w:ascii="Times New Roman"/>
          <w:b/>
          <w:i w:val="false"/>
          <w:color w:val="000000"/>
          <w:sz w:val="28"/>
        </w:rPr>
        <w:t xml:space="preserve"> с ценными бумагами с указанием их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KASE_ABRvP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репо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продавца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депо покупки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покупателя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дисконта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 открытия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_______________________________________________ 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_______________________ Исполнитель________________________________________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об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репо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их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"Отчет об операциях </w:t>
      </w:r>
      <w:r>
        <w:rPr>
          <w:rFonts w:ascii="Times New Roman"/>
          <w:b/>
          <w:i w:val="false"/>
          <w:color w:val="000000"/>
          <w:sz w:val="28"/>
        </w:rPr>
        <w:t>репо</w:t>
      </w:r>
      <w:r>
        <w:rPr>
          <w:rFonts w:ascii="Times New Roman"/>
          <w:b/>
          <w:i w:val="false"/>
          <w:color w:val="000000"/>
          <w:sz w:val="28"/>
        </w:rPr>
        <w:t xml:space="preserve"> с ценными бумагами с указанием их участников"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(индекс: 1- </w:t>
      </w:r>
      <w:r>
        <w:rPr>
          <w:rFonts w:ascii="Times New Roman"/>
          <w:b/>
          <w:i w:val="false"/>
          <w:color w:val="000000"/>
          <w:sz w:val="28"/>
        </w:rPr>
        <w:t>KASE_ABRvP</w:t>
      </w:r>
      <w:r>
        <w:rPr>
          <w:rFonts w:ascii="Times New Roman"/>
          <w:b/>
          <w:i w:val="false"/>
          <w:color w:val="000000"/>
          <w:sz w:val="28"/>
        </w:rPr>
        <w:t>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об операциях репо с ценными бумагами с указанием их участников"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заключения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заключения сделки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указывается способ сделки: "прямое репо" или "автоматическое репо".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в качестве типа операции репо указывается открытие или закрытие.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графах 9 и 12 цена за одну ценную бумагу с точностью котирования, определенной организатором торгов в соответствии с его внутренними документами, и объем сделки указываются в тенге. В качестве объема сделки признается произведение граф 9 ("Цена") и 11 ("Количество").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10 указывается доходность с точностью котирования, определенной организатором торгов в соответствии с его внутренними документами, по которой участник торгов заключил операцию репо,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11 указывается количество ценных бумаг (в штуках), выставляемых продавцом операции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13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графах 14 и 17 в качестве счета (субсчета) депо понимается лицевой счет (субсчет) держателя ценных бумаг, открытый в системе учета центрального депозитария.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графах 15 и 18 указываются порядковые номера заявок на заключение операции репо, поданные продавцом и покупателем ценных бумаг,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19 указывается статус сделки,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графе 20 указывается срок операции репо, определенный организатором торгов в соответствии с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В графе 21 указывается дата закрытия операции репо в формате "дд.мм.гггг". Данная графа заполняется только для операции открытия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В графе 22 указывается ставка дисконтирования, примененная к цене инструмента, являющегося предметом операции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В графе 23 указывается порядковый номер соответствующей сделки открытия репо. Данная графа заполняется только для операции закрытия репо.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графе 24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1" w:id="25"/>
      <w:r>
        <w:rPr>
          <w:rFonts w:ascii="Times New Roman"/>
          <w:b w:val="false"/>
          <w:i w:val="false"/>
          <w:color w:val="000000"/>
          <w:sz w:val="28"/>
        </w:rPr>
        <w:t>
      Приложение 27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производных финансовых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KASE_ABD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одного контракта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базовых активов в одном контракте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 (ID)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снятия заявки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 Адрес_________________________________________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покупку/продажу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производных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производных финансовых инструментов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KASE_ABD,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заявках на покупку/продажу производных финансовых инструментов"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18 указываются дата подачи и дата снятия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графах 3 и 19 указываются время подачи и время снятия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графах 6 и 10 цена одного контракта и объем заявки указываются в тенге. В графе 10 в качестве объема заявки признается произведение граф 6 ("Цена одного контракта") и 8 ("Количество контрактов"). В графе 6 в качестве цены одного контракта указывается цена, по которой участник торгов готов заключить сделку с производными финансовыми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7 указывается наименование валюты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графах 8 и 9 количество контрактов заявки и количество базовых активов в одном контракте указываются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13 указывается персональный идентификационный номер (ID) трейдера фондовой биржи, подавшего заявку на заключение сделки с производными финансовыми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16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2" w:id="26"/>
      <w:r>
        <w:rPr>
          <w:rFonts w:ascii="Times New Roman"/>
          <w:b w:val="false"/>
          <w:i w:val="false"/>
          <w:color w:val="000000"/>
          <w:sz w:val="28"/>
        </w:rPr>
        <w:t>
      Приложение 28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результатах торгов производными финансовыми </w:t>
      </w:r>
      <w:r>
        <w:rPr>
          <w:rFonts w:ascii="Times New Roman"/>
          <w:b/>
          <w:i w:val="false"/>
          <w:color w:val="000000"/>
          <w:sz w:val="28"/>
        </w:rPr>
        <w:t>инструментами  с</w:t>
      </w:r>
      <w:r>
        <w:rPr>
          <w:rFonts w:ascii="Times New Roman"/>
          <w:b/>
          <w:i w:val="false"/>
          <w:color w:val="000000"/>
          <w:sz w:val="28"/>
        </w:rPr>
        <w:t xml:space="preserve"> указанием сторон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KASE_DT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инструмента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одного контракта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базовых активов в одном контракте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продавцом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продажи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покупки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Адрес_____________________________________________________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 Исполнитель 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им на подписание отчета  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или лицо, уполномоченное им на подписание отчета 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производными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финансовыми инструментами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сторон сделок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"Отчет о результатах торгов производными финансовыми </w:t>
      </w:r>
      <w:r>
        <w:rPr>
          <w:rFonts w:ascii="Times New Roman"/>
          <w:b/>
          <w:i w:val="false"/>
          <w:color w:val="000000"/>
          <w:sz w:val="28"/>
        </w:rPr>
        <w:t>инструментами  с</w:t>
      </w:r>
      <w:r>
        <w:rPr>
          <w:rFonts w:ascii="Times New Roman"/>
          <w:b/>
          <w:i w:val="false"/>
          <w:color w:val="000000"/>
          <w:sz w:val="28"/>
        </w:rPr>
        <w:t xml:space="preserve"> указанием сторон сделок"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KASE_DT,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результатах торгов производными финансовыми инструментами с указанием сторон сделок"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заключения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заключения сделки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графах 5 и 9 цена одного контракта и объем сделки указываются в тенге. В графе 9 в качестве объема сделки признается произведение граф 5 ("Цена одного контракта") и 7 ("Количество контрактов"). В графе 5 в качестве цены одного контракта указывается цена, по которой участник торгов заключил сделку с производными финансовыми инструментами.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наименование валюты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графах 7 и 8 количество контрактов сделки и количество базовых активов в одном контракте указываются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графах 10 и 13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16 указывается фактическая дата расчета сделки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3" w:id="27"/>
      <w:r>
        <w:rPr>
          <w:rFonts w:ascii="Times New Roman"/>
          <w:b w:val="false"/>
          <w:i w:val="false"/>
          <w:color w:val="000000"/>
          <w:sz w:val="28"/>
        </w:rPr>
        <w:t>
      Приложение 29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которые вносятся изменения и дополнения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заявках на покупку/продажу иностранных валют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KASE_FC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 валютного свопа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Адрес_______________________________________________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 Исполнитель______________________________________________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заявках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покупку/продажу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валют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"Отчет о заявках на покупку/продажу иностранных валют"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KASE_FC,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 "Отчет о заявках на покупку/продажу иностранных валют"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графе 2 указывается дата подачи заявки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указывается время подачи заявки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в качестве направления заявки указывается покупка или продажа.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графе 5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графах 6 и 8 указываются цена за один финансовый инструмент с точностью котирования, определенной организатором торгов в соответствии с его внутренними документами, и объем заявки в тенге. В качестве объема заявки признается произведение граф 8 ("Цена") и 9 ("Количество"), за исключением операций валютного свопа. В графе 8 указывается цена, по которой участник торгов готов купить (продать) финансовый инструмент.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количество финансовых инструментов заявки указывается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19 указывается код члена организатора торгов, определенный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11 указывается тип заявки: "limit" - лимитированная заявка, "market" - рыночная заявка, "nego" - прямая заявка.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графе 12 указывается статус заявки,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13 указывается доходность, с точностью котирования, определенной организатором торгов в соответствии с его внутренними документами, по которой участник готов купить (продать) иностранную валюту. Графа 15 заполняется для операций валютного свопа.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графе 14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4" w:id="28"/>
      <w:r>
        <w:rPr>
          <w:rFonts w:ascii="Times New Roman"/>
          <w:b w:val="false"/>
          <w:i w:val="false"/>
          <w:color w:val="000000"/>
          <w:sz w:val="28"/>
        </w:rPr>
        <w:t>
      Приложение 30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 о результатах торгов иностранными валютами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KASE_RFC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ежедневная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заключения сделки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финансового инструмента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 выступающего продавцом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продажи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продажу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члена организатора торгов, выступающего покупателем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торгового счета покупки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 на покупку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торгов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 Адрес 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                         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иностранными валютами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"Отчет о результатах торгов иностранными валютами"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KASE_RFC, периодичность: ежедневная)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результатах торгов иностранными валютами"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ежедневно организатором торгов и заполняется за каждый отчетный день. Данные в Форме заполняются в тенге с двумя знаками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 графах 2 и 22 указываются дата заключения сделки и фактическая дата расчета по сделке в формате "дд.мм.гггг".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 графе 3 указываются время заключения сделки и фактическое время расчета по сделке в формате "часы:минуты:секунды".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 графе 4 указывается код финансового инструмента, определенный организатором торгов в соответствии с порядком кодировки иностранных валют,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графах 5 и 8 указываются цена за один финансовый инструмент с точностью котирования, определенной организатором торгов в соответствии с его внутренними документами, и объем сделки в тенге. В качестве объема сделки признается произведение граф 5 ("Цена") и 7 ("Количество").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6 указывается доходность, с точностью котирования, определенной организатором торгов в соответствии с его внутренними документами, по которой участники торгов заключили сделку по валютному свопу,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графе 7 указывается количество финансовых инструментов в штуках.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графе 9 указываются коды членов организатора торгов, определенные организатором торгов в соответствии с порядком кодировки членов организатора торгов, предусмотренным его внутренними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15 указывается статус сделки, предусмотренной внутренними документами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 графе 17 указывается номер основной сделки своп. Графа 17 заполняется для операций валютного свопа.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графе 18 указывается режим торгов, предусмотренный торговой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случае отсутствия сведений, Форма представляется с нулевыми остатками.</w:t>
      </w:r>
    </w:p>
    <w:p>
      <w:pPr>
        <w:spacing w:after="0"/>
        <w:ind w:left="0"/>
        <w:jc w:val="both"/>
      </w:pPr>
      <w:bookmarkStart w:name="z125" w:id="29"/>
      <w:r>
        <w:rPr>
          <w:rFonts w:ascii="Times New Roman"/>
          <w:b w:val="false"/>
          <w:i w:val="false"/>
          <w:color w:val="000000"/>
          <w:sz w:val="28"/>
        </w:rPr>
        <w:t>
      Приложение 31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которые вносятся 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ноября 2019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административных данных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Отчет о сделках с лицами, связанными с организатором торгов </w:t>
      </w:r>
      <w:r>
        <w:rPr>
          <w:rFonts w:ascii="Times New Roman"/>
          <w:b/>
          <w:i w:val="false"/>
          <w:color w:val="000000"/>
          <w:sz w:val="28"/>
        </w:rPr>
        <w:t>особыми  отношениями</w:t>
      </w:r>
      <w:r>
        <w:rPr>
          <w:rFonts w:ascii="Times New Roman"/>
          <w:b/>
          <w:i w:val="false"/>
          <w:color w:val="000000"/>
          <w:sz w:val="28"/>
        </w:rPr>
        <w:t>, заключенных в течение отчетного месяца,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 также действующих  на отчетную дату, и реестр лиц, связанных с организатором торгов особыми 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 KASE_ DEALING_REGISTER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Отчетный период: по состоянию на "_____" 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Круг лиц, представляющих: организатор торгов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Таблица 1. Сделки с лицами, связанными с организатором торгов </w:t>
      </w:r>
      <w:r>
        <w:rPr>
          <w:rFonts w:ascii="Times New Roman"/>
          <w:b/>
          <w:i w:val="false"/>
          <w:color w:val="000000"/>
          <w:sz w:val="28"/>
        </w:rPr>
        <w:t>особыми  отношениями</w:t>
      </w:r>
      <w:r>
        <w:rPr>
          <w:rFonts w:ascii="Times New Roman"/>
          <w:b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заключенные в течение отчетного месяца, а также действующие  на "___" _________________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при наличии - отчество)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организатором торгов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сделки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(дата начала выполнения условий)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(дата окончания выполнения условий)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организатора торгов либо общего собрания акционеров (в случае отсутствия совета директоров)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по договору (в тысячах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валюты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Стоимость обеспечения (в тысячах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(в процентах годовых)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стоимость обеспечения, включаемая при расчете резервов (провизий)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связанным с организатором торгов особыми отношениями в пользу организатора торгов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организатором торгов в пользу лица, связанного с организатором торгов особыми отношениями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внутренними документами организатора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доходы/расходы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отчетную дату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созданных резервов (провизий) в соответствии с требованиями международных стандартов финансовой отчетности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решения совета директоров организации, осуществляющей отдельные виды банковских операций либо общего собрания акционеров (в случаях, предусмотренных законодательством Республики Казахстан)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тысячах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 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организатора торгов с лицами, связанными с ним особыми отношениями, суммы которых по каждому виду операций организатора торгов,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лицом, связанным с ним особыми отношениями, не превышает 0,01 процент в совокупности от размера собственного капитала организатора торгов, рассчитываемого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марта 2010 года № 41 "Об утверждении Правил и методик расчета значений пруденциальных нормативов для организатора торгов"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под № 6207),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"__" __________ 20 __ года составляет ________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Организатор торгов подтверждает, что в отчетном месяце льготные условия лицам, связанным с ним особыми отношениями, не предоставлялись,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 сделки, кроме указанных в Таблице 1, организатором торгов не осуществлялись.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Реестр лиц, связанных с организатором торгов особыми отношениями по состоянию на "___" ______________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при наличии - отчество)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в соответствии с которым лицо отнесено к лицу, связанному особыми отношениями с организатором торгов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Адрес______________________________________________________ 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электронной почты _____________________ Исполнитель___________________________________________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или лицо, уполномоченное на подписание отчета  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уполномоченное им на подписание отчета 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"____"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форме отчета о сделках с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связанными с организатором торгов особыми отношениями,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заключенных в течение отчетного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действующих на отчетную дату,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реестра лиц, связанных с организатором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"Отчет о сделках с лицами, связанными с организатором торгов </w:t>
      </w:r>
      <w:r>
        <w:rPr>
          <w:rFonts w:ascii="Times New Roman"/>
          <w:b/>
          <w:i w:val="false"/>
          <w:color w:val="000000"/>
          <w:sz w:val="28"/>
        </w:rPr>
        <w:t>особыми  отношениями</w:t>
      </w:r>
      <w:r>
        <w:rPr>
          <w:rFonts w:ascii="Times New Roman"/>
          <w:b/>
          <w:i w:val="false"/>
          <w:color w:val="000000"/>
          <w:sz w:val="28"/>
        </w:rPr>
        <w:t>, заключенных в течение отчетного месяца,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 также действующих  на отчетную дату, и реестр лиц, связанных с организатором торгов особыми  отношениями"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(индекс: 1- KASE_ DEALING_REGISTER,  периодичность: ежемесячная)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 "Отчет о сделках с лицами, связанными с организатором торгов особыми отношениями, заключенных в течение отчетного месяца, а также действующих на отчетную дату, и реестр лиц, связанных с организатором торгов особыми отношениями" (далее -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2003 года "О рынке ценных бумаг".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Форма составляется организатором торгов ежемесячно.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(1000)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Форму подписывает первый руководитель, главный бухгалтер или лица, уполномоченные на подписание отчета, и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обо всех сделках организатора торгов с лицами, связанными с ним особыми отношениями, заключенных в течение отчетного периода, а также действующих на отчетную дату (Таблица 1), и о лицах, связанных с организатором торгов особыми отношениями (Таблица 2) на отчетную дату.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Признак связанности лица с организатором торгов особыми отношениями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 заполнении Таблицы 2 указываются все признаки связанности лица особыми отношениями с организатором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 Таблице 1 указываются сведения обо всех сделках организатора торгов с лицами, связанными с ним особыми отношениями, сумма которых по каждому виду операций организатора торгов с лицом, связанным с ним особыми отношениями, превышает 0,01 процент в совокупности от размера собственного капитала организатора торгов, рассчитываемого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"Об утверждении Правил и методик расчета значений пруденциальных нормативов для организатора торгов" (зарегистрировано в Реестре государственной регистрации нормативных правовых актов под № 6207).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Если собственный капитал организатора торгов имеет отрицательное значение, в Таблице 1 указываются сведения обо всех сделках организатора торгов с лицами, связанными с ним особыми отношениями, сумма которых по каждому виду операций организатора торгов с лицом, связанным с ним особыми отношениями, превышает 0,001 процент в совокупности от размера активов организатора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 графе 2 Таблицы 1 и графе 3 Таблицы 2 для физического лица фамилия и имя указываются обязательно, отчество - при его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графах 14, 15 и 16 Таблицы 1 указывается информация по сделкам, условия которых предполагают наличие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графах 17, 18 и 19 Таблицы 1 указывается информация по сделкам, условия которых предполагают выплату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графе 20 Таблицы 1 указывается сумма начисленного дохода или расхода, накопленного с начала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Если на момент заключения сделки лицо не являлось лицом, связанным с организатором торгов особыми отношениями, в графе 26 Таблицы 1 указывается, что "лицо является связанным с организатором торгов особыми отношениями с ________ (дата с указанием дня, месяца и года)".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 Таблице 2 указываются все лица, связанные с организатором торгов особыми отношениями, в том числе, с которыми сделки не заключались.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случае отсутствия сведений, Форма представляется с нулевыми остатками.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представления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