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749ba" w14:textId="3e74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февраля 2021 года № 26. Зарегистрировано в Министерстве юстиции Республики Казахстан 16 февраля 2021 года № 22215</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по вопросам рынка ценных бумаг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рынка ценных бумаг,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r>
              <w:br/>
            </w:r>
            <w:r>
              <w:rPr>
                <w:rFonts w:ascii="Times New Roman"/>
                <w:b w:val="false"/>
                <w:i/>
                <w:color w:val="000000"/>
                <w:sz w:val="20"/>
              </w:rPr>
              <w:t>Республики Казахстан</w:t>
            </w:r>
            <w:r>
              <w:br/>
            </w: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26</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рынка ценных бумаг, в которые вносятся изменения и дополнения </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организации торговли с ценными бумагами и иными финансовыми инструментами" (зарегистрировано в Реестре государственной регистрации нормативных правовых актов под № 5406, опубликовано 14 января 2009 года в газете "Юридическая газета" № 5 (1602) следующее изменение: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организации торговли с ценными бумагами и иными финансовыми инструментами,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"39. Операции "репо", осуществляемые в торговой системе фондовой биржи, совершаются на срок не более девяноста календарных дней с учетом продления первоначального срока операции "репо".".</w:t>
      </w:r>
    </w:p>
    <w:bookmarkEnd w:id="11"/>
    <w:bookmarkStart w:name="z19"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60 "Об утверждении Правил инвестирования финансовых инструментов и иного имущества, входящего в состав активов инвестиционного фонда, и перечня финансовых инструментов, которые могут входить в состав активов акционерных и паевых инвестиционных фондов" (зарегистрировано в Реестре государственной регистрации нормативных правовых актов под № 7540, опубликовано 4 июля 2012 года в газете "Казахстанская правда" № 211-212 (27030-27031) следующие изменения и дополнения:</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финансовых инструментов и иного имущества, входящего в состав активов инвестиционного фонда,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"8. Управляющая компания осуществляет инвестирование активов инвестиционного фонда при соблюдении лимитов инвестирования, установленных Правилами и инвестиционной декларацией инвестиционного фонда.";</w:t>
      </w:r>
    </w:p>
    <w:bookmarkEnd w:id="14"/>
    <w:bookmarkStart w:name="z23" w:id="15"/>
    <w:p>
      <w:pPr>
        <w:spacing w:after="0"/>
        <w:ind w:left="0"/>
        <w:jc w:val="both"/>
      </w:pPr>
      <w:r>
        <w:rPr>
          <w:rFonts w:ascii="Times New Roman"/>
          <w:b w:val="false"/>
          <w:i w:val="false"/>
          <w:color w:val="000000"/>
          <w:sz w:val="28"/>
        </w:rPr>
        <w:t>
      дополнить пунктами 8-1, 8-2 и 8-3 следующего содержания:</w:t>
      </w:r>
    </w:p>
    <w:bookmarkEnd w:id="15"/>
    <w:bookmarkStart w:name="z24" w:id="16"/>
    <w:p>
      <w:pPr>
        <w:spacing w:after="0"/>
        <w:ind w:left="0"/>
        <w:jc w:val="both"/>
      </w:pPr>
      <w:r>
        <w:rPr>
          <w:rFonts w:ascii="Times New Roman"/>
          <w:b w:val="false"/>
          <w:i w:val="false"/>
          <w:color w:val="000000"/>
          <w:sz w:val="28"/>
        </w:rPr>
        <w:t>
      "8-1. Суммарный размер инвестиций за счет активов инвестиционного фонда в финансовые инструменты, выпущенные (предоставленные) одним лицом и его аффилированными лицами, за исключением финансовых инструментов, суммарный размер инвестиций в которые за счет активов инвестиционного фонда установлен пунктом 8-2 Правил, не превышает:</w:t>
      </w:r>
    </w:p>
    <w:bookmarkEnd w:id="16"/>
    <w:bookmarkStart w:name="z25" w:id="17"/>
    <w:p>
      <w:pPr>
        <w:spacing w:after="0"/>
        <w:ind w:left="0"/>
        <w:jc w:val="both"/>
      </w:pPr>
      <w:r>
        <w:rPr>
          <w:rFonts w:ascii="Times New Roman"/>
          <w:b w:val="false"/>
          <w:i w:val="false"/>
          <w:color w:val="000000"/>
          <w:sz w:val="28"/>
        </w:rPr>
        <w:t>
      1) двадцать процентов стоимости чистых активов для открытого или интервального паевого инвестиционного фонда;</w:t>
      </w:r>
    </w:p>
    <w:bookmarkEnd w:id="17"/>
    <w:bookmarkStart w:name="z26" w:id="18"/>
    <w:p>
      <w:pPr>
        <w:spacing w:after="0"/>
        <w:ind w:left="0"/>
        <w:jc w:val="both"/>
      </w:pPr>
      <w:r>
        <w:rPr>
          <w:rFonts w:ascii="Times New Roman"/>
          <w:b w:val="false"/>
          <w:i w:val="false"/>
          <w:color w:val="000000"/>
          <w:sz w:val="28"/>
        </w:rPr>
        <w:t>
      2) тридцать процентов стоимости чистых активов для акционерного инвестиционного фонда и закрытого паевого инвестиционного фонда;</w:t>
      </w:r>
    </w:p>
    <w:bookmarkEnd w:id="18"/>
    <w:bookmarkStart w:name="z27" w:id="19"/>
    <w:p>
      <w:pPr>
        <w:spacing w:after="0"/>
        <w:ind w:left="0"/>
        <w:jc w:val="both"/>
      </w:pPr>
      <w:r>
        <w:rPr>
          <w:rFonts w:ascii="Times New Roman"/>
          <w:b w:val="false"/>
          <w:i w:val="false"/>
          <w:color w:val="000000"/>
          <w:sz w:val="28"/>
        </w:rPr>
        <w:t>
      3) сто процентов стоимости активов открытого, интервального и закрытого паевого инвестиционного фонда и акционерного инвестиционного фонда в отношении денег, ценных бумаг, являющихся предметом операции обратного репо, заключенной с участием центрального контрагента, государственных ценных бумаг Республики Казахстан, паев Exchange Traded Funds (Эксчейндж Трэйдэд Фандс), ценообразование по которым привязано к фондовым индексам.</w:t>
      </w:r>
    </w:p>
    <w:bookmarkEnd w:id="19"/>
    <w:bookmarkStart w:name="z28" w:id="20"/>
    <w:p>
      <w:pPr>
        <w:spacing w:after="0"/>
        <w:ind w:left="0"/>
        <w:jc w:val="both"/>
      </w:pPr>
      <w:r>
        <w:rPr>
          <w:rFonts w:ascii="Times New Roman"/>
          <w:b w:val="false"/>
          <w:i w:val="false"/>
          <w:color w:val="000000"/>
          <w:sz w:val="28"/>
        </w:rPr>
        <w:t>
      8-2.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не превышает:</w:t>
      </w:r>
    </w:p>
    <w:bookmarkEnd w:id="20"/>
    <w:bookmarkStart w:name="z29" w:id="21"/>
    <w:p>
      <w:pPr>
        <w:spacing w:after="0"/>
        <w:ind w:left="0"/>
        <w:jc w:val="both"/>
      </w:pPr>
      <w:r>
        <w:rPr>
          <w:rFonts w:ascii="Times New Roman"/>
          <w:b w:val="false"/>
          <w:i w:val="false"/>
          <w:color w:val="000000"/>
          <w:sz w:val="28"/>
        </w:rPr>
        <w:t>
      1) тридцать процентов стоимости чистых активов для открытого или интервального паевого инвестиционного фонда;</w:t>
      </w:r>
    </w:p>
    <w:bookmarkEnd w:id="21"/>
    <w:bookmarkStart w:name="z30" w:id="22"/>
    <w:p>
      <w:pPr>
        <w:spacing w:after="0"/>
        <w:ind w:left="0"/>
        <w:jc w:val="both"/>
      </w:pPr>
      <w:r>
        <w:rPr>
          <w:rFonts w:ascii="Times New Roman"/>
          <w:b w:val="false"/>
          <w:i w:val="false"/>
          <w:color w:val="000000"/>
          <w:sz w:val="28"/>
        </w:rPr>
        <w:t>
      2) пятьдесят процентов стоимости чистых активов для акционерного инвестиционного фонда и закрытого паевого инвестиционного фонда.</w:t>
      </w:r>
    </w:p>
    <w:bookmarkEnd w:id="22"/>
    <w:bookmarkStart w:name="z31" w:id="23"/>
    <w:p>
      <w:pPr>
        <w:spacing w:after="0"/>
        <w:ind w:left="0"/>
        <w:jc w:val="both"/>
      </w:pPr>
      <w:r>
        <w:rPr>
          <w:rFonts w:ascii="Times New Roman"/>
          <w:b w:val="false"/>
          <w:i w:val="false"/>
          <w:color w:val="000000"/>
          <w:sz w:val="28"/>
        </w:rPr>
        <w:t>
      8-3. Суммарные размеры инвестиций за счет активов инвестиционных фондов в финансовые инструменты, указанные в пунктах 8-1 и 8-2 Правил, не превышают сто процентов от стоимости активов инвестиционного фонда рискового инвестирования и двадцати процентов от стоимости чистых активов фонда недвижимости.";</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которые могут входить в состав активов акционерных и паевых инвестиционных фондов, утвержденном указанным постановлением:</w:t>
      </w:r>
    </w:p>
    <w:bookmarkEnd w:id="24"/>
    <w:bookmarkStart w:name="z33" w:id="25"/>
    <w:p>
      <w:pPr>
        <w:spacing w:after="0"/>
        <w:ind w:left="0"/>
        <w:jc w:val="both"/>
      </w:pPr>
      <w:r>
        <w:rPr>
          <w:rFonts w:ascii="Times New Roman"/>
          <w:b w:val="false"/>
          <w:i w:val="false"/>
          <w:color w:val="000000"/>
          <w:sz w:val="28"/>
        </w:rPr>
        <w:t xml:space="preserve">
      в таблице пункта 1: </w:t>
      </w:r>
    </w:p>
    <w:bookmarkEnd w:id="25"/>
    <w:bookmarkStart w:name="z34" w:id="26"/>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26"/>
    <w:bookmarkStart w:name="z35"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r>
    </w:tbl>
    <w:bookmarkStart w:name="z36" w:id="28"/>
    <w:p>
      <w:pPr>
        <w:spacing w:after="0"/>
        <w:ind w:left="0"/>
        <w:jc w:val="both"/>
      </w:pPr>
      <w:r>
        <w:rPr>
          <w:rFonts w:ascii="Times New Roman"/>
          <w:b w:val="false"/>
          <w:i w:val="false"/>
          <w:color w:val="000000"/>
          <w:sz w:val="28"/>
        </w:rPr>
        <w:t>
      ";</w:t>
      </w:r>
    </w:p>
    <w:bookmarkEnd w:id="28"/>
    <w:bookmarkStart w:name="z37" w:id="29"/>
    <w:p>
      <w:pPr>
        <w:spacing w:after="0"/>
        <w:ind w:left="0"/>
        <w:jc w:val="both"/>
      </w:pPr>
      <w:r>
        <w:rPr>
          <w:rFonts w:ascii="Times New Roman"/>
          <w:b w:val="false"/>
          <w:i w:val="false"/>
          <w:color w:val="000000"/>
          <w:sz w:val="28"/>
        </w:rPr>
        <w:t>
      строку, порядковый номер 18, изложить в следующей редакции:</w:t>
      </w:r>
    </w:p>
    <w:bookmarkEnd w:id="29"/>
    <w:bookmarkStart w:name="z38"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11363"/>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165 "Об утверждении Требований к программно-техническим средствам и иному оборудованию, необходимым для осуществления деятельности на рынке ценных бумаг" (зарегистрировано в Реестре государственной регистрации нормативных правовых актов под № 7734, опубликовано 29 августа 2012 года в газете "Казахстанская правда" № 290-291 (27109-27110) следующее изменение:</w:t>
      </w:r>
    </w:p>
    <w:bookmarkEnd w:id="31"/>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программно-техническим средствам и иному оборудованию, необходимым для осуществления деятельности на рынке ценных бумаг, утвержденных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 w:id="33"/>
    <w:p>
      <w:pPr>
        <w:spacing w:after="0"/>
        <w:ind w:left="0"/>
        <w:jc w:val="both"/>
      </w:pPr>
      <w:r>
        <w:rPr>
          <w:rFonts w:ascii="Times New Roman"/>
          <w:b w:val="false"/>
          <w:i w:val="false"/>
          <w:color w:val="000000"/>
          <w:sz w:val="28"/>
        </w:rPr>
        <w:t>
      "3. Программное обеспечение организаций, обладающих лицензиями на осуществление брокерской и (или) дилерской деятельности с правом ведения счетов клиентов в качестве номинального держателя, кастодиальной деятельности, в дополнение к требованиям, предусмотренным пунктами 1 и 2 Требований, обеспечивает:</w:t>
      </w:r>
    </w:p>
    <w:bookmarkEnd w:id="33"/>
    <w:bookmarkStart w:name="z44" w:id="34"/>
    <w:p>
      <w:pPr>
        <w:spacing w:after="0"/>
        <w:ind w:left="0"/>
        <w:jc w:val="both"/>
      </w:pPr>
      <w:r>
        <w:rPr>
          <w:rFonts w:ascii="Times New Roman"/>
          <w:b w:val="false"/>
          <w:i w:val="false"/>
          <w:color w:val="000000"/>
          <w:sz w:val="28"/>
        </w:rPr>
        <w:t>
      1) возможность учета активов клиентов, переданных в номинальное держание и (или) на кастодиальное обслуживание;</w:t>
      </w:r>
    </w:p>
    <w:bookmarkEnd w:id="34"/>
    <w:bookmarkStart w:name="z45" w:id="35"/>
    <w:p>
      <w:pPr>
        <w:spacing w:after="0"/>
        <w:ind w:left="0"/>
        <w:jc w:val="both"/>
      </w:pPr>
      <w:r>
        <w:rPr>
          <w:rFonts w:ascii="Times New Roman"/>
          <w:b w:val="false"/>
          <w:i w:val="false"/>
          <w:color w:val="000000"/>
          <w:sz w:val="28"/>
        </w:rPr>
        <w:t>
      2) ведение персонального учета активов клиента, всех операций по его счетам, возможность анализа истории операций по счетам, в том числе автоматизированное формирование сведений об остатках денег по состоянию на любую дату и время в течение операционного дня, а также о движении денег в разрезе каждого клиента и организации, которая осуществляет учет и хранение денег клиента, включая, но не ограничиваясь следующей информацией:</w:t>
      </w:r>
    </w:p>
    <w:bookmarkEnd w:id="35"/>
    <w:bookmarkStart w:name="z46" w:id="36"/>
    <w:p>
      <w:pPr>
        <w:spacing w:after="0"/>
        <w:ind w:left="0"/>
        <w:jc w:val="both"/>
      </w:pPr>
      <w:r>
        <w:rPr>
          <w:rFonts w:ascii="Times New Roman"/>
          <w:b w:val="false"/>
          <w:i w:val="false"/>
          <w:color w:val="000000"/>
          <w:sz w:val="28"/>
        </w:rPr>
        <w:t>
      дата и время проведения операции с деньгами;</w:t>
      </w:r>
    </w:p>
    <w:bookmarkEnd w:id="36"/>
    <w:bookmarkStart w:name="z47" w:id="37"/>
    <w:p>
      <w:pPr>
        <w:spacing w:after="0"/>
        <w:ind w:left="0"/>
        <w:jc w:val="both"/>
      </w:pPr>
      <w:r>
        <w:rPr>
          <w:rFonts w:ascii="Times New Roman"/>
          <w:b w:val="false"/>
          <w:i w:val="false"/>
          <w:color w:val="000000"/>
          <w:sz w:val="28"/>
        </w:rPr>
        <w:t>
      наименование операции;</w:t>
      </w:r>
    </w:p>
    <w:bookmarkEnd w:id="37"/>
    <w:bookmarkStart w:name="z48" w:id="38"/>
    <w:p>
      <w:pPr>
        <w:spacing w:after="0"/>
        <w:ind w:left="0"/>
        <w:jc w:val="both"/>
      </w:pPr>
      <w:r>
        <w:rPr>
          <w:rFonts w:ascii="Times New Roman"/>
          <w:b w:val="false"/>
          <w:i w:val="false"/>
          <w:color w:val="000000"/>
          <w:sz w:val="28"/>
        </w:rPr>
        <w:t>
      реквизиты и наименование подтверждающего документа;</w:t>
      </w:r>
    </w:p>
    <w:bookmarkEnd w:id="38"/>
    <w:bookmarkStart w:name="z49" w:id="39"/>
    <w:p>
      <w:pPr>
        <w:spacing w:after="0"/>
        <w:ind w:left="0"/>
        <w:jc w:val="both"/>
      </w:pPr>
      <w:r>
        <w:rPr>
          <w:rFonts w:ascii="Times New Roman"/>
          <w:b w:val="false"/>
          <w:i w:val="false"/>
          <w:color w:val="000000"/>
          <w:sz w:val="28"/>
        </w:rPr>
        <w:t>
      фамилия, имя, отчество (при его наличии) или наименование клиента;</w:t>
      </w:r>
    </w:p>
    <w:bookmarkEnd w:id="39"/>
    <w:bookmarkStart w:name="z50" w:id="40"/>
    <w:p>
      <w:pPr>
        <w:spacing w:after="0"/>
        <w:ind w:left="0"/>
        <w:jc w:val="both"/>
      </w:pPr>
      <w:r>
        <w:rPr>
          <w:rFonts w:ascii="Times New Roman"/>
          <w:b w:val="false"/>
          <w:i w:val="false"/>
          <w:color w:val="000000"/>
          <w:sz w:val="28"/>
        </w:rPr>
        <w:t>
      наименование расчетно-депозитарной системы, через которую осуществляются расчеты по сделкам с финансовыми инструментами;</w:t>
      </w:r>
    </w:p>
    <w:bookmarkEnd w:id="40"/>
    <w:bookmarkStart w:name="z51" w:id="41"/>
    <w:p>
      <w:pPr>
        <w:spacing w:after="0"/>
        <w:ind w:left="0"/>
        <w:jc w:val="both"/>
      </w:pPr>
      <w:r>
        <w:rPr>
          <w:rFonts w:ascii="Times New Roman"/>
          <w:b w:val="false"/>
          <w:i w:val="false"/>
          <w:color w:val="000000"/>
          <w:sz w:val="28"/>
        </w:rPr>
        <w:t>
      наименование организации, которой осуществляется учет и хранение денег брокера и (или) дилера и его клиентов;</w:t>
      </w:r>
    </w:p>
    <w:bookmarkEnd w:id="41"/>
    <w:bookmarkStart w:name="z52" w:id="42"/>
    <w:p>
      <w:pPr>
        <w:spacing w:after="0"/>
        <w:ind w:left="0"/>
        <w:jc w:val="both"/>
      </w:pPr>
      <w:r>
        <w:rPr>
          <w:rFonts w:ascii="Times New Roman"/>
          <w:b w:val="false"/>
          <w:i w:val="false"/>
          <w:color w:val="000000"/>
          <w:sz w:val="28"/>
        </w:rPr>
        <w:t>
      сумма каждой операции по деньгам по счету клиента;</w:t>
      </w:r>
    </w:p>
    <w:bookmarkEnd w:id="42"/>
    <w:bookmarkStart w:name="z53" w:id="43"/>
    <w:p>
      <w:pPr>
        <w:spacing w:after="0"/>
        <w:ind w:left="0"/>
        <w:jc w:val="both"/>
      </w:pPr>
      <w:r>
        <w:rPr>
          <w:rFonts w:ascii="Times New Roman"/>
          <w:b w:val="false"/>
          <w:i w:val="false"/>
          <w:color w:val="000000"/>
          <w:sz w:val="28"/>
        </w:rPr>
        <w:t>
      сумма вознаграждения брокера и (или) дилера, кастодиана, фондовой биржи и иных организаций с указанием услуги и (или) сделки (операции), за оказание (проведение) которой данное вознаграждение было начислено и (или) списано со счета;</w:t>
      </w:r>
    </w:p>
    <w:bookmarkEnd w:id="43"/>
    <w:bookmarkStart w:name="z54" w:id="44"/>
    <w:p>
      <w:pPr>
        <w:spacing w:after="0"/>
        <w:ind w:left="0"/>
        <w:jc w:val="both"/>
      </w:pPr>
      <w:r>
        <w:rPr>
          <w:rFonts w:ascii="Times New Roman"/>
          <w:b w:val="false"/>
          <w:i w:val="false"/>
          <w:color w:val="000000"/>
          <w:sz w:val="28"/>
        </w:rPr>
        <w:t>
      назначение платежа;</w:t>
      </w:r>
    </w:p>
    <w:bookmarkEnd w:id="44"/>
    <w:bookmarkStart w:name="z55" w:id="45"/>
    <w:p>
      <w:pPr>
        <w:spacing w:after="0"/>
        <w:ind w:left="0"/>
        <w:jc w:val="both"/>
      </w:pPr>
      <w:r>
        <w:rPr>
          <w:rFonts w:ascii="Times New Roman"/>
          <w:b w:val="false"/>
          <w:i w:val="false"/>
          <w:color w:val="000000"/>
          <w:sz w:val="28"/>
        </w:rPr>
        <w:t>
      наименование контрагента по операции с деньгами и реквизиты его счета;</w:t>
      </w:r>
    </w:p>
    <w:bookmarkEnd w:id="45"/>
    <w:bookmarkStart w:name="z56" w:id="46"/>
    <w:p>
      <w:pPr>
        <w:spacing w:after="0"/>
        <w:ind w:left="0"/>
        <w:jc w:val="both"/>
      </w:pPr>
      <w:r>
        <w:rPr>
          <w:rFonts w:ascii="Times New Roman"/>
          <w:b w:val="false"/>
          <w:i w:val="false"/>
          <w:color w:val="000000"/>
          <w:sz w:val="28"/>
        </w:rPr>
        <w:t>
      наименование банка второго уровня, филиала банка-нерезидента Республики Казахстан или организации, осуществляющей отдельные виды банковских операций, выступающей со стороны контрагента по операции с деньгами, и реквизиты его (ее) счета;</w:t>
      </w:r>
    </w:p>
    <w:bookmarkEnd w:id="46"/>
    <w:bookmarkStart w:name="z57" w:id="47"/>
    <w:p>
      <w:pPr>
        <w:spacing w:after="0"/>
        <w:ind w:left="0"/>
        <w:jc w:val="both"/>
      </w:pPr>
      <w:r>
        <w:rPr>
          <w:rFonts w:ascii="Times New Roman"/>
          <w:b w:val="false"/>
          <w:i w:val="false"/>
          <w:color w:val="000000"/>
          <w:sz w:val="28"/>
        </w:rPr>
        <w:t>
      3) взаимодействие с программным обеспечением фондовой биржи и (или) клиринговой организации в процессе регистрации сделок с эмиссионными ценными бумагами.".</w:t>
      </w:r>
    </w:p>
    <w:bookmarkEnd w:id="47"/>
    <w:bookmarkStart w:name="z58" w:id="4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опубликовано 17 октября 2013 года в газете "Казахстанская правда" № 295 (27569) следующие изменения и дополнение:</w:t>
      </w:r>
    </w:p>
    <w:bookmarkEnd w:id="48"/>
    <w:bookmarkStart w:name="z59"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49"/>
    <w:bookmarkStart w:name="z60"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 </w:t>
      </w:r>
    </w:p>
    <w:bookmarkEnd w:id="50"/>
    <w:bookmarkStart w:name="z61" w:id="51"/>
    <w:p>
      <w:pPr>
        <w:spacing w:after="0"/>
        <w:ind w:left="0"/>
        <w:jc w:val="both"/>
      </w:pPr>
      <w:r>
        <w:rPr>
          <w:rFonts w:ascii="Times New Roman"/>
          <w:b w:val="false"/>
          <w:i w:val="false"/>
          <w:color w:val="000000"/>
          <w:sz w:val="28"/>
        </w:rPr>
        <w:t>
      "Глава 1. Общие положения";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63" w:id="5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52"/>
    <w:bookmarkStart w:name="z64" w:id="53"/>
    <w:p>
      <w:pPr>
        <w:spacing w:after="0"/>
        <w:ind w:left="0"/>
        <w:jc w:val="both"/>
      </w:pPr>
      <w:r>
        <w:rPr>
          <w:rFonts w:ascii="Times New Roman"/>
          <w:b w:val="false"/>
          <w:i w:val="false"/>
          <w:color w:val="000000"/>
          <w:sz w:val="28"/>
        </w:rPr>
        <w:t>
      "Глава 2. Кастодиальный договор";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6" w:id="54"/>
    <w:p>
      <w:pPr>
        <w:spacing w:after="0"/>
        <w:ind w:left="0"/>
        <w:jc w:val="both"/>
      </w:pPr>
      <w:r>
        <w:rPr>
          <w:rFonts w:ascii="Times New Roman"/>
          <w:b w:val="false"/>
          <w:i w:val="false"/>
          <w:color w:val="000000"/>
          <w:sz w:val="28"/>
        </w:rPr>
        <w:t>
      "9. Кастодиальный договор заключается в письменной форме между кастодианом и клиентом.</w:t>
      </w:r>
    </w:p>
    <w:bookmarkEnd w:id="54"/>
    <w:bookmarkStart w:name="z67" w:id="55"/>
    <w:p>
      <w:pPr>
        <w:spacing w:after="0"/>
        <w:ind w:left="0"/>
        <w:jc w:val="both"/>
      </w:pPr>
      <w:r>
        <w:rPr>
          <w:rFonts w:ascii="Times New Roman"/>
          <w:b w:val="false"/>
          <w:i w:val="false"/>
          <w:color w:val="000000"/>
          <w:sz w:val="28"/>
        </w:rPr>
        <w:t>
      При инвестировании временно свободных поступлений по выделенным активам специальной финансовой компании кастодиальный договор заключается между кастодианом, специальной финансовой компанией и управляющим инвестиционным портфелем, в управлении которого находятся выделенные активы специальной финансовой компании (далее – управляющий инвестиционным портфелем специальной финансовой компании).</w:t>
      </w:r>
    </w:p>
    <w:bookmarkEnd w:id="55"/>
    <w:bookmarkStart w:name="z68" w:id="56"/>
    <w:p>
      <w:pPr>
        <w:spacing w:after="0"/>
        <w:ind w:left="0"/>
        <w:jc w:val="both"/>
      </w:pPr>
      <w:r>
        <w:rPr>
          <w:rFonts w:ascii="Times New Roman"/>
          <w:b w:val="false"/>
          <w:i w:val="false"/>
          <w:color w:val="000000"/>
          <w:sz w:val="28"/>
        </w:rPr>
        <w:t>
      В целях хранения и учета пенсионных активов, находящихся в доверительном управлении управляющего инвестиционным портфелем, кастодиальный договор заключается в письменной форме между кастодианом, единым накопительным пенсионным фондом и управляющим инвестиционным портфелем.";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0" w:id="57"/>
    <w:p>
      <w:pPr>
        <w:spacing w:after="0"/>
        <w:ind w:left="0"/>
        <w:jc w:val="both"/>
      </w:pPr>
      <w:r>
        <w:rPr>
          <w:rFonts w:ascii="Times New Roman"/>
          <w:b w:val="false"/>
          <w:i w:val="false"/>
          <w:color w:val="000000"/>
          <w:sz w:val="28"/>
        </w:rPr>
        <w:t xml:space="preserve">
      "11. Кастодиальный договор, за исключением кастодиального договора, заключаемого кастодианом с добровольным накопительным пенсионным фондом или со специальной финансовой компанией, специальной финансовой компанией и управляющим инвестиционным портфелем специальной финансовой компании, единым накопительным пенсионным фондом и управляющим инвестиционным портфелем, помимо требований к его содержанию,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75 Закона о рынке ценных бумаг, содержит:</w:t>
      </w:r>
    </w:p>
    <w:bookmarkEnd w:id="57"/>
    <w:bookmarkStart w:name="z71" w:id="58"/>
    <w:p>
      <w:pPr>
        <w:spacing w:after="0"/>
        <w:ind w:left="0"/>
        <w:jc w:val="both"/>
      </w:pPr>
      <w:r>
        <w:rPr>
          <w:rFonts w:ascii="Times New Roman"/>
          <w:b w:val="false"/>
          <w:i w:val="false"/>
          <w:color w:val="000000"/>
          <w:sz w:val="28"/>
        </w:rPr>
        <w:t xml:space="preserve">
      1) обязательство кастодиана по соблюдению коммерческой тайны на рынке ценных бумаг, а также право кастодиана получать от клиента или организации, уполномоченной на распоряжение счетами клиента, документов, необходимых кастодиану для выполнения функции, предусмотренной подпунктом 8) </w:t>
      </w:r>
      <w:r>
        <w:rPr>
          <w:rFonts w:ascii="Times New Roman"/>
          <w:b w:val="false"/>
          <w:i w:val="false"/>
          <w:color w:val="000000"/>
          <w:sz w:val="28"/>
        </w:rPr>
        <w:t>пункта 20</w:t>
      </w:r>
      <w:r>
        <w:rPr>
          <w:rFonts w:ascii="Times New Roman"/>
          <w:b w:val="false"/>
          <w:i w:val="false"/>
          <w:color w:val="000000"/>
          <w:sz w:val="28"/>
        </w:rPr>
        <w:t xml:space="preserve"> Правил; </w:t>
      </w:r>
    </w:p>
    <w:bookmarkEnd w:id="58"/>
    <w:bookmarkStart w:name="z72" w:id="59"/>
    <w:p>
      <w:pPr>
        <w:spacing w:after="0"/>
        <w:ind w:left="0"/>
        <w:jc w:val="both"/>
      </w:pPr>
      <w:r>
        <w:rPr>
          <w:rFonts w:ascii="Times New Roman"/>
          <w:b w:val="false"/>
          <w:i w:val="false"/>
          <w:color w:val="000000"/>
          <w:sz w:val="28"/>
        </w:rPr>
        <w:t>
      2) форму и периодичность отчетности кастодиана перед клиентом;</w:t>
      </w:r>
    </w:p>
    <w:bookmarkEnd w:id="59"/>
    <w:bookmarkStart w:name="z73" w:id="60"/>
    <w:p>
      <w:pPr>
        <w:spacing w:after="0"/>
        <w:ind w:left="0"/>
        <w:jc w:val="both"/>
      </w:pPr>
      <w:r>
        <w:rPr>
          <w:rFonts w:ascii="Times New Roman"/>
          <w:b w:val="false"/>
          <w:i w:val="false"/>
          <w:color w:val="000000"/>
          <w:sz w:val="28"/>
        </w:rPr>
        <w:t xml:space="preserve">
      3) порядок возврата активов клиенту либо передачи активов клиента новому кастодиану; </w:t>
      </w:r>
    </w:p>
    <w:bookmarkEnd w:id="60"/>
    <w:bookmarkStart w:name="z74" w:id="61"/>
    <w:p>
      <w:pPr>
        <w:spacing w:after="0"/>
        <w:ind w:left="0"/>
        <w:jc w:val="both"/>
      </w:pPr>
      <w:r>
        <w:rPr>
          <w:rFonts w:ascii="Times New Roman"/>
          <w:b w:val="false"/>
          <w:i w:val="false"/>
          <w:color w:val="000000"/>
          <w:sz w:val="28"/>
        </w:rPr>
        <w:t>
      4) порядок проведения и периодичность сверок;</w:t>
      </w:r>
    </w:p>
    <w:bookmarkEnd w:id="61"/>
    <w:bookmarkStart w:name="z75" w:id="62"/>
    <w:p>
      <w:pPr>
        <w:spacing w:after="0"/>
        <w:ind w:left="0"/>
        <w:jc w:val="both"/>
      </w:pPr>
      <w:r>
        <w:rPr>
          <w:rFonts w:ascii="Times New Roman"/>
          <w:b w:val="false"/>
          <w:i w:val="false"/>
          <w:color w:val="000000"/>
          <w:sz w:val="28"/>
        </w:rPr>
        <w:t>
      5) порядок и условия расторжения кастодиального договора по инициативе одной из сторон и (или) при прекращении действия выданной уполномоченным органом лицензии кастодиана на осуществление кастодиальной деятельности;</w:t>
      </w:r>
    </w:p>
    <w:bookmarkEnd w:id="62"/>
    <w:bookmarkStart w:name="z76" w:id="63"/>
    <w:p>
      <w:pPr>
        <w:spacing w:after="0"/>
        <w:ind w:left="0"/>
        <w:jc w:val="both"/>
      </w:pPr>
      <w:r>
        <w:rPr>
          <w:rFonts w:ascii="Times New Roman"/>
          <w:b w:val="false"/>
          <w:i w:val="false"/>
          <w:color w:val="000000"/>
          <w:sz w:val="28"/>
        </w:rPr>
        <w:t>
      6) условия, позволяющие уполномоченному органу проверить фактическое наличие и содержание хранящихся резервных копий;</w:t>
      </w:r>
    </w:p>
    <w:bookmarkEnd w:id="63"/>
    <w:bookmarkStart w:name="z77" w:id="64"/>
    <w:p>
      <w:pPr>
        <w:spacing w:after="0"/>
        <w:ind w:left="0"/>
        <w:jc w:val="both"/>
      </w:pPr>
      <w:r>
        <w:rPr>
          <w:rFonts w:ascii="Times New Roman"/>
          <w:b w:val="false"/>
          <w:i w:val="false"/>
          <w:color w:val="000000"/>
          <w:sz w:val="28"/>
        </w:rPr>
        <w:t>
      7) отметку клиента об ознакомлении с внутренними документами кастодиана, регулирующими кастодиальную деятельность;</w:t>
      </w:r>
    </w:p>
    <w:bookmarkEnd w:id="64"/>
    <w:bookmarkStart w:name="z78" w:id="65"/>
    <w:p>
      <w:pPr>
        <w:spacing w:after="0"/>
        <w:ind w:left="0"/>
        <w:jc w:val="both"/>
      </w:pPr>
      <w:r>
        <w:rPr>
          <w:rFonts w:ascii="Times New Roman"/>
          <w:b w:val="false"/>
          <w:i w:val="false"/>
          <w:color w:val="000000"/>
          <w:sz w:val="28"/>
        </w:rPr>
        <w:t>
      8) иные положения в соответствии с внутренними документами кастодиана.</w:t>
      </w:r>
    </w:p>
    <w:bookmarkEnd w:id="65"/>
    <w:bookmarkStart w:name="z79" w:id="66"/>
    <w:p>
      <w:pPr>
        <w:spacing w:after="0"/>
        <w:ind w:left="0"/>
        <w:jc w:val="both"/>
      </w:pPr>
      <w:r>
        <w:rPr>
          <w:rFonts w:ascii="Times New Roman"/>
          <w:b w:val="false"/>
          <w:i w:val="false"/>
          <w:color w:val="000000"/>
          <w:sz w:val="28"/>
        </w:rPr>
        <w:t>
      Требования подпунктов 3), 5) и 7) настоящего пункта не распространяются на содержание кастодиального договора, заключаемого между кастодианом и единым накопительным пенсионным фондом.";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81" w:id="67"/>
    <w:p>
      <w:pPr>
        <w:spacing w:after="0"/>
        <w:ind w:left="0"/>
        <w:jc w:val="both"/>
      </w:pPr>
      <w:r>
        <w:rPr>
          <w:rFonts w:ascii="Times New Roman"/>
          <w:b w:val="false"/>
          <w:i w:val="false"/>
          <w:color w:val="000000"/>
          <w:sz w:val="28"/>
        </w:rPr>
        <w:t>
      "15. Инициатор расторжения кастодиального договора уведомляет вторую сторону (стороны):</w:t>
      </w:r>
    </w:p>
    <w:bookmarkEnd w:id="67"/>
    <w:bookmarkStart w:name="z82" w:id="68"/>
    <w:p>
      <w:pPr>
        <w:spacing w:after="0"/>
        <w:ind w:left="0"/>
        <w:jc w:val="both"/>
      </w:pPr>
      <w:r>
        <w:rPr>
          <w:rFonts w:ascii="Times New Roman"/>
          <w:b w:val="false"/>
          <w:i w:val="false"/>
          <w:color w:val="000000"/>
          <w:sz w:val="28"/>
        </w:rPr>
        <w:t>
      1) кастодиального договора, заключенного между кастодианом и добровольным накопительным пенсионным фондом, за двадцать календарных дней до намеченной даты его расторжения;</w:t>
      </w:r>
    </w:p>
    <w:bookmarkEnd w:id="68"/>
    <w:bookmarkStart w:name="z83" w:id="69"/>
    <w:p>
      <w:pPr>
        <w:spacing w:after="0"/>
        <w:ind w:left="0"/>
        <w:jc w:val="both"/>
      </w:pPr>
      <w:r>
        <w:rPr>
          <w:rFonts w:ascii="Times New Roman"/>
          <w:b w:val="false"/>
          <w:i w:val="false"/>
          <w:color w:val="000000"/>
          <w:sz w:val="28"/>
        </w:rPr>
        <w:t>
      2) кастодиального договора, заключенного между кастодианом и специальной финансовой компанией, или кастодиального договора, заключенного между кастодианом, специальной финансовой компанией и управляющим инвестиционным портфелем, за тридцать календарных дней до намеченной даты их расторжения;</w:t>
      </w:r>
    </w:p>
    <w:bookmarkEnd w:id="69"/>
    <w:bookmarkStart w:name="z84" w:id="70"/>
    <w:p>
      <w:pPr>
        <w:spacing w:after="0"/>
        <w:ind w:left="0"/>
        <w:jc w:val="both"/>
      </w:pPr>
      <w:r>
        <w:rPr>
          <w:rFonts w:ascii="Times New Roman"/>
          <w:b w:val="false"/>
          <w:i w:val="false"/>
          <w:color w:val="000000"/>
          <w:sz w:val="28"/>
        </w:rPr>
        <w:t>
      3) кастодиального договора, заключенного между кастодианом, единым накопительным пенсионным фондом и управляющим инвестиционным портфелем, за тридцать календарных дней до намеченной даты его расторжения.</w:t>
      </w:r>
    </w:p>
    <w:bookmarkEnd w:id="70"/>
    <w:bookmarkStart w:name="z85" w:id="71"/>
    <w:p>
      <w:pPr>
        <w:spacing w:after="0"/>
        <w:ind w:left="0"/>
        <w:jc w:val="both"/>
      </w:pPr>
      <w:r>
        <w:rPr>
          <w:rFonts w:ascii="Times New Roman"/>
          <w:b w:val="false"/>
          <w:i w:val="false"/>
          <w:color w:val="000000"/>
          <w:sz w:val="28"/>
        </w:rPr>
        <w:t>
      Инициатор расторжения иных кастодиальных договоров уведомляет вторую сторону договора в сроки, установленные кастодиальным договором.";</w:t>
      </w:r>
    </w:p>
    <w:bookmarkEnd w:id="71"/>
    <w:bookmarkStart w:name="z86"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 </w:t>
      </w:r>
    </w:p>
    <w:bookmarkEnd w:id="72"/>
    <w:bookmarkStart w:name="z87" w:id="73"/>
    <w:p>
      <w:pPr>
        <w:spacing w:after="0"/>
        <w:ind w:left="0"/>
        <w:jc w:val="both"/>
      </w:pPr>
      <w:r>
        <w:rPr>
          <w:rFonts w:ascii="Times New Roman"/>
          <w:b w:val="false"/>
          <w:i w:val="false"/>
          <w:color w:val="000000"/>
          <w:sz w:val="28"/>
        </w:rPr>
        <w:t>
      "Глава 3. Кастодиальная деятельность";</w:t>
      </w:r>
    </w:p>
    <w:bookmarkEnd w:id="73"/>
    <w:bookmarkStart w:name="z88" w:id="7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74"/>
    <w:bookmarkStart w:name="z89" w:id="75"/>
    <w:p>
      <w:pPr>
        <w:spacing w:after="0"/>
        <w:ind w:left="0"/>
        <w:jc w:val="both"/>
      </w:pPr>
      <w:r>
        <w:rPr>
          <w:rFonts w:ascii="Times New Roman"/>
          <w:b w:val="false"/>
          <w:i w:val="false"/>
          <w:color w:val="000000"/>
          <w:sz w:val="28"/>
        </w:rPr>
        <w:t>
      "Глава 4. Организация учета активов клиентов";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 </w:t>
      </w:r>
    </w:p>
    <w:bookmarkStart w:name="z91" w:id="76"/>
    <w:p>
      <w:pPr>
        <w:spacing w:after="0"/>
        <w:ind w:left="0"/>
        <w:jc w:val="both"/>
      </w:pPr>
      <w:r>
        <w:rPr>
          <w:rFonts w:ascii="Times New Roman"/>
          <w:b w:val="false"/>
          <w:i w:val="false"/>
          <w:color w:val="000000"/>
          <w:sz w:val="28"/>
        </w:rPr>
        <w:t>
      "34. Кастодиан, оказывающий услуги по хранению и учету пенсионных активов добровольных накопительных пенсионных фондов, пенсионных активов единого накопительного пенсионного фонда, находящихся в доверительном управлении управляющих инвестиционным портфелем, соответствует следующим требованиям:</w:t>
      </w:r>
    </w:p>
    <w:bookmarkEnd w:id="76"/>
    <w:bookmarkStart w:name="z92" w:id="77"/>
    <w:p>
      <w:pPr>
        <w:spacing w:after="0"/>
        <w:ind w:left="0"/>
        <w:jc w:val="both"/>
      </w:pPr>
      <w:r>
        <w:rPr>
          <w:rFonts w:ascii="Times New Roman"/>
          <w:b w:val="false"/>
          <w:i w:val="false"/>
          <w:color w:val="000000"/>
          <w:sz w:val="28"/>
        </w:rPr>
        <w:t>
      1) имеет долгосрочный кредитный рейтинг не ниже "ВВ-" по международной шкале агентства Standard &amp; Poor’s (Стандард энд Пурс) или рейтинг аналогичного уровня агентств Moody’s Investors Service (Мyдис Инвесторс Сервис), Fitch (Фич) (далее – другие рейтинговые агентства), или рейтинговую оценку не ниже "kzВВ-"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 либо является дочерним банком-резидентом Республики Казахстан, родительский банк-нерезидент Республики Казахстан которого обладает долгосрочным кредитным рейтингом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77"/>
    <w:bookmarkStart w:name="z93" w:id="78"/>
    <w:p>
      <w:pPr>
        <w:spacing w:after="0"/>
        <w:ind w:left="0"/>
        <w:jc w:val="both"/>
      </w:pPr>
      <w:r>
        <w:rPr>
          <w:rFonts w:ascii="Times New Roman"/>
          <w:b w:val="false"/>
          <w:i w:val="false"/>
          <w:color w:val="000000"/>
          <w:sz w:val="28"/>
        </w:rPr>
        <w:t>
      2) имеет доступ к международным депозитарно-расчетным системам (типа Еuroclear (Еуроклир) и Сlearstream International (Клирстрим Интернэшнэл)) в виде:</w:t>
      </w:r>
    </w:p>
    <w:bookmarkEnd w:id="78"/>
    <w:bookmarkStart w:name="z94" w:id="79"/>
    <w:p>
      <w:pPr>
        <w:spacing w:after="0"/>
        <w:ind w:left="0"/>
        <w:jc w:val="both"/>
      </w:pPr>
      <w:r>
        <w:rPr>
          <w:rFonts w:ascii="Times New Roman"/>
          <w:b w:val="false"/>
          <w:i w:val="false"/>
          <w:color w:val="000000"/>
          <w:sz w:val="28"/>
        </w:rPr>
        <w:t>
      непосредственного доступа;</w:t>
      </w:r>
    </w:p>
    <w:bookmarkEnd w:id="79"/>
    <w:bookmarkStart w:name="z95" w:id="80"/>
    <w:p>
      <w:pPr>
        <w:spacing w:after="0"/>
        <w:ind w:left="0"/>
        <w:jc w:val="both"/>
      </w:pPr>
      <w:r>
        <w:rPr>
          <w:rFonts w:ascii="Times New Roman"/>
          <w:b w:val="false"/>
          <w:i w:val="false"/>
          <w:color w:val="000000"/>
          <w:sz w:val="28"/>
        </w:rPr>
        <w:t>
      посредством заключения кастодиального договора с иностранным номинальным держателем, оказывающим кастодиальные услуги на рынке ценных бумаг и имеющим непосредственный доступ к указанным системам;</w:t>
      </w:r>
    </w:p>
    <w:bookmarkEnd w:id="80"/>
    <w:bookmarkStart w:name="z96" w:id="81"/>
    <w:p>
      <w:pPr>
        <w:spacing w:after="0"/>
        <w:ind w:left="0"/>
        <w:jc w:val="both"/>
      </w:pPr>
      <w:r>
        <w:rPr>
          <w:rFonts w:ascii="Times New Roman"/>
          <w:b w:val="false"/>
          <w:i w:val="false"/>
          <w:color w:val="000000"/>
          <w:sz w:val="28"/>
        </w:rPr>
        <w:t>
      посредством использования услуг центрального депозитария.";</w:t>
      </w:r>
    </w:p>
    <w:bookmarkEnd w:id="81"/>
    <w:bookmarkStart w:name="z97" w:id="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 </w:t>
      </w:r>
    </w:p>
    <w:bookmarkEnd w:id="82"/>
    <w:bookmarkStart w:name="z98" w:id="83"/>
    <w:p>
      <w:pPr>
        <w:spacing w:after="0"/>
        <w:ind w:left="0"/>
        <w:jc w:val="both"/>
      </w:pPr>
      <w:r>
        <w:rPr>
          <w:rFonts w:ascii="Times New Roman"/>
          <w:b w:val="false"/>
          <w:i w:val="false"/>
          <w:color w:val="000000"/>
          <w:sz w:val="28"/>
        </w:rPr>
        <w:t>
      "Глава 5. Хранение и учет пенсионных активов единого накопительного пенсионного фонда, находящихся в доверительном управлении Национального Банка";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00" w:id="84"/>
    <w:p>
      <w:pPr>
        <w:spacing w:after="0"/>
        <w:ind w:left="0"/>
        <w:jc w:val="both"/>
      </w:pPr>
      <w:r>
        <w:rPr>
          <w:rFonts w:ascii="Times New Roman"/>
          <w:b w:val="false"/>
          <w:i w:val="false"/>
          <w:color w:val="000000"/>
          <w:sz w:val="28"/>
        </w:rPr>
        <w:t xml:space="preserve">
      "58. Требования пунктов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Правил не распространяются на кастодиана, осуществляющего хранение и учет пенсионных активов единого накопительного пенсионного фонда, находящихся в доверительном управлении Национального Банка.";</w:t>
      </w:r>
    </w:p>
    <w:bookmarkEnd w:id="84"/>
    <w:bookmarkStart w:name="z101" w:id="85"/>
    <w:p>
      <w:pPr>
        <w:spacing w:after="0"/>
        <w:ind w:left="0"/>
        <w:jc w:val="both"/>
      </w:pPr>
      <w:r>
        <w:rPr>
          <w:rFonts w:ascii="Times New Roman"/>
          <w:b w:val="false"/>
          <w:i w:val="false"/>
          <w:color w:val="000000"/>
          <w:sz w:val="28"/>
        </w:rPr>
        <w:t xml:space="preserve">
      дополнить главой 5-1 следующего содержания: </w:t>
      </w:r>
    </w:p>
    <w:bookmarkEnd w:id="85"/>
    <w:bookmarkStart w:name="z102" w:id="86"/>
    <w:p>
      <w:pPr>
        <w:spacing w:after="0"/>
        <w:ind w:left="0"/>
        <w:jc w:val="both"/>
      </w:pPr>
      <w:r>
        <w:rPr>
          <w:rFonts w:ascii="Times New Roman"/>
          <w:b w:val="false"/>
          <w:i w:val="false"/>
          <w:color w:val="000000"/>
          <w:sz w:val="28"/>
        </w:rPr>
        <w:t>
      "Глава 5-1. Особенности хранения и учета пенсионных активов единого накопительного пенсионного фонда, находящихся в доверительном управлении управляющего инвестиционным портфелем</w:t>
      </w:r>
    </w:p>
    <w:bookmarkEnd w:id="86"/>
    <w:bookmarkStart w:name="z103" w:id="87"/>
    <w:p>
      <w:pPr>
        <w:spacing w:after="0"/>
        <w:ind w:left="0"/>
        <w:jc w:val="both"/>
      </w:pPr>
      <w:r>
        <w:rPr>
          <w:rFonts w:ascii="Times New Roman"/>
          <w:b w:val="false"/>
          <w:i w:val="false"/>
          <w:color w:val="000000"/>
          <w:sz w:val="28"/>
        </w:rPr>
        <w:t>
      58-1. Выбор кастодиана для хранения и учета пенсионных активов единого накопительного пенсионного фонда, находящихся в доверительном управлении управляющего инвестиционным портфелем, осуществляется управляющим инвестиционного портфеля.</w:t>
      </w:r>
    </w:p>
    <w:bookmarkEnd w:id="87"/>
    <w:bookmarkStart w:name="z104" w:id="88"/>
    <w:p>
      <w:pPr>
        <w:spacing w:after="0"/>
        <w:ind w:left="0"/>
        <w:jc w:val="both"/>
      </w:pPr>
      <w:r>
        <w:rPr>
          <w:rFonts w:ascii="Times New Roman"/>
          <w:b w:val="false"/>
          <w:i w:val="false"/>
          <w:color w:val="000000"/>
          <w:sz w:val="28"/>
        </w:rPr>
        <w:t>
      Хранение и учет пенсионных активов, переданных в доверительное управление одному управляющему инвестиционным портфелем, осуществляются одним кастодианом.</w:t>
      </w:r>
    </w:p>
    <w:bookmarkEnd w:id="88"/>
    <w:bookmarkStart w:name="z105" w:id="89"/>
    <w:p>
      <w:pPr>
        <w:spacing w:after="0"/>
        <w:ind w:left="0"/>
        <w:jc w:val="both"/>
      </w:pPr>
      <w:r>
        <w:rPr>
          <w:rFonts w:ascii="Times New Roman"/>
          <w:b w:val="false"/>
          <w:i w:val="false"/>
          <w:color w:val="000000"/>
          <w:sz w:val="28"/>
        </w:rPr>
        <w:t>
      58-2. Учет операций с пенсионными активами единого накопительного пенсионного фонда, находящимися в доверительном управлении управляющего инвестиционным портфелем, осуществляется на счетах единого накопительного пенсионного фонда, открытых в кастодиане в соответствии с кастодиальным договором, заключаемым между кастодианом, единым накопительным пенсионным фондом и управляющим инвестиционным портфелем.</w:t>
      </w:r>
    </w:p>
    <w:bookmarkEnd w:id="89"/>
    <w:bookmarkStart w:name="z106" w:id="90"/>
    <w:p>
      <w:pPr>
        <w:spacing w:after="0"/>
        <w:ind w:left="0"/>
        <w:jc w:val="both"/>
      </w:pPr>
      <w:r>
        <w:rPr>
          <w:rFonts w:ascii="Times New Roman"/>
          <w:b w:val="false"/>
          <w:i w:val="false"/>
          <w:color w:val="000000"/>
          <w:sz w:val="28"/>
        </w:rPr>
        <w:t>
      Технология и режимы ведения кастодианом счетов по учету пенсионных активов единого накопительного пенсионного фонда, находящихся в доверительном управлении управляющего инвестиционным портфелем, определяются внутренними документами кастодиана и кастодиальным договором, заключенным между кастодианом, единым накопительным пенсионным фондом и управляющим инвестиционным портфелем.</w:t>
      </w:r>
    </w:p>
    <w:bookmarkEnd w:id="90"/>
    <w:bookmarkStart w:name="z107" w:id="91"/>
    <w:p>
      <w:pPr>
        <w:spacing w:after="0"/>
        <w:ind w:left="0"/>
        <w:jc w:val="both"/>
      </w:pPr>
      <w:r>
        <w:rPr>
          <w:rFonts w:ascii="Times New Roman"/>
          <w:b w:val="false"/>
          <w:i w:val="false"/>
          <w:color w:val="000000"/>
          <w:sz w:val="28"/>
        </w:rPr>
        <w:t>
      58-3. Основаниями для расторжения кастодиального договора, заключенного между кастодианом, единым накопительным пенсионным фондом и управляющим инвестиционным портфелем, являются:</w:t>
      </w:r>
    </w:p>
    <w:bookmarkEnd w:id="91"/>
    <w:bookmarkStart w:name="z108" w:id="92"/>
    <w:p>
      <w:pPr>
        <w:spacing w:after="0"/>
        <w:ind w:left="0"/>
        <w:jc w:val="both"/>
      </w:pPr>
      <w:r>
        <w:rPr>
          <w:rFonts w:ascii="Times New Roman"/>
          <w:b w:val="false"/>
          <w:i w:val="false"/>
          <w:color w:val="000000"/>
          <w:sz w:val="28"/>
        </w:rPr>
        <w:t>
      1) приостановление действия или лишение лицензии кастодиана и (или) управляющего инвестиционным портфелем;</w:t>
      </w:r>
    </w:p>
    <w:bookmarkEnd w:id="92"/>
    <w:bookmarkStart w:name="z109" w:id="93"/>
    <w:p>
      <w:pPr>
        <w:spacing w:after="0"/>
        <w:ind w:left="0"/>
        <w:jc w:val="both"/>
      </w:pPr>
      <w:r>
        <w:rPr>
          <w:rFonts w:ascii="Times New Roman"/>
          <w:b w:val="false"/>
          <w:i w:val="false"/>
          <w:color w:val="000000"/>
          <w:sz w:val="28"/>
        </w:rPr>
        <w:t xml:space="preserve">
      2) несоответствие кастодиана критериям, установленным </w:t>
      </w:r>
      <w:r>
        <w:rPr>
          <w:rFonts w:ascii="Times New Roman"/>
          <w:b w:val="false"/>
          <w:i w:val="false"/>
          <w:color w:val="000000"/>
          <w:sz w:val="28"/>
        </w:rPr>
        <w:t>пунктом 34</w:t>
      </w:r>
      <w:r>
        <w:rPr>
          <w:rFonts w:ascii="Times New Roman"/>
          <w:b w:val="false"/>
          <w:i w:val="false"/>
          <w:color w:val="000000"/>
          <w:sz w:val="28"/>
        </w:rPr>
        <w:t xml:space="preserve"> Правил; </w:t>
      </w:r>
    </w:p>
    <w:bookmarkEnd w:id="93"/>
    <w:bookmarkStart w:name="z110" w:id="94"/>
    <w:p>
      <w:pPr>
        <w:spacing w:after="0"/>
        <w:ind w:left="0"/>
        <w:jc w:val="both"/>
      </w:pPr>
      <w:r>
        <w:rPr>
          <w:rFonts w:ascii="Times New Roman"/>
          <w:b w:val="false"/>
          <w:i w:val="false"/>
          <w:color w:val="000000"/>
          <w:sz w:val="28"/>
        </w:rPr>
        <w:t>
      3) решение управляющего инвестиционным портфелем о расторжении кастодиального договора.</w:t>
      </w:r>
    </w:p>
    <w:bookmarkEnd w:id="94"/>
    <w:bookmarkStart w:name="z111" w:id="95"/>
    <w:p>
      <w:pPr>
        <w:spacing w:after="0"/>
        <w:ind w:left="0"/>
        <w:jc w:val="both"/>
      </w:pPr>
      <w:r>
        <w:rPr>
          <w:rFonts w:ascii="Times New Roman"/>
          <w:b w:val="false"/>
          <w:i w:val="false"/>
          <w:color w:val="000000"/>
          <w:sz w:val="28"/>
        </w:rPr>
        <w:t>
      58-4. До наступления намеченной даты расторжения кастодиального договора, заключенного между кастодианом, единым накопительным пенсионным фондом и управляющим инвестиционным портфелем, по основаниям, указанным в пункте 58-3 Правил, пенсионные активы единого накопительного пенсионного фонда, находящиеся в доверительном управлении управляющего инвестиционным портфелем, передаются кастодианом новому кастодиану.</w:t>
      </w:r>
    </w:p>
    <w:bookmarkEnd w:id="95"/>
    <w:bookmarkStart w:name="z112" w:id="96"/>
    <w:p>
      <w:pPr>
        <w:spacing w:after="0"/>
        <w:ind w:left="0"/>
        <w:jc w:val="both"/>
      </w:pPr>
      <w:r>
        <w:rPr>
          <w:rFonts w:ascii="Times New Roman"/>
          <w:b w:val="false"/>
          <w:i w:val="false"/>
          <w:color w:val="000000"/>
          <w:sz w:val="28"/>
        </w:rPr>
        <w:t>
      При расторжении кастодиального договора кастодиан исполняет обязательства по кастодиальному договору до передачи пенсионных активов единого накопительного пенсионного фонда, находящихся в доверительном управлении управляющего инвестиционным портфелем, новому кастодиану.</w:t>
      </w:r>
    </w:p>
    <w:bookmarkEnd w:id="96"/>
    <w:bookmarkStart w:name="z113" w:id="97"/>
    <w:p>
      <w:pPr>
        <w:spacing w:after="0"/>
        <w:ind w:left="0"/>
        <w:jc w:val="both"/>
      </w:pPr>
      <w:r>
        <w:rPr>
          <w:rFonts w:ascii="Times New Roman"/>
          <w:b w:val="false"/>
          <w:i w:val="false"/>
          <w:color w:val="000000"/>
          <w:sz w:val="28"/>
        </w:rPr>
        <w:t>
      58-5. В целях реализации функций по хранению и учету пенсионных активов единого накопительного пенсионного фонда, находящихся в доверительном управлении управляющего инвестиционным портфелем, кастодиан осуществляет:</w:t>
      </w:r>
    </w:p>
    <w:bookmarkEnd w:id="97"/>
    <w:bookmarkStart w:name="z114" w:id="98"/>
    <w:p>
      <w:pPr>
        <w:spacing w:after="0"/>
        <w:ind w:left="0"/>
        <w:jc w:val="both"/>
      </w:pPr>
      <w:r>
        <w:rPr>
          <w:rFonts w:ascii="Times New Roman"/>
          <w:b w:val="false"/>
          <w:i w:val="false"/>
          <w:color w:val="000000"/>
          <w:sz w:val="28"/>
        </w:rPr>
        <w:t>
      1) номинальное держание эмиссионных ценных бумаг, составляющих пенсионные активы, находящиеся в доверительном управлении управляющего инвестиционным портфелем, и переданных на кастодиальное обслуживание;</w:t>
      </w:r>
    </w:p>
    <w:bookmarkEnd w:id="98"/>
    <w:bookmarkStart w:name="z115" w:id="99"/>
    <w:p>
      <w:pPr>
        <w:spacing w:after="0"/>
        <w:ind w:left="0"/>
        <w:jc w:val="both"/>
      </w:pPr>
      <w:r>
        <w:rPr>
          <w:rFonts w:ascii="Times New Roman"/>
          <w:b w:val="false"/>
          <w:i w:val="false"/>
          <w:color w:val="000000"/>
          <w:sz w:val="28"/>
        </w:rPr>
        <w:t>
      2) оказание услуг платежного агента по сделкам с эмиссионными ценными бумагами и иными финансовыми инструментами, составляющими пенсионные активы, находящиеся в доверительном управлении управляющего инвестиционным портфелем, и переданными на кастодиальное обслуживание;</w:t>
      </w:r>
    </w:p>
    <w:bookmarkEnd w:id="99"/>
    <w:bookmarkStart w:name="z116" w:id="100"/>
    <w:p>
      <w:pPr>
        <w:spacing w:after="0"/>
        <w:ind w:left="0"/>
        <w:jc w:val="both"/>
      </w:pPr>
      <w:r>
        <w:rPr>
          <w:rFonts w:ascii="Times New Roman"/>
          <w:b w:val="false"/>
          <w:i w:val="false"/>
          <w:color w:val="000000"/>
          <w:sz w:val="28"/>
        </w:rPr>
        <w:t>
      3) регистрацию сделок с эмиссионными ценными бумагами, составляющими пенсионные активы единого накопительного пенсионного фонда, находящиеся в доверительном управлении управляющего инвестиционным портфелем, и подтверждение его прав по данным ценным бумагам;</w:t>
      </w:r>
    </w:p>
    <w:bookmarkEnd w:id="100"/>
    <w:bookmarkStart w:name="z117" w:id="101"/>
    <w:p>
      <w:pPr>
        <w:spacing w:after="0"/>
        <w:ind w:left="0"/>
        <w:jc w:val="both"/>
      </w:pPr>
      <w:r>
        <w:rPr>
          <w:rFonts w:ascii="Times New Roman"/>
          <w:b w:val="false"/>
          <w:i w:val="false"/>
          <w:color w:val="000000"/>
          <w:sz w:val="28"/>
        </w:rPr>
        <w:t>
      4) учет всех операций по аккумулированию пенсионных активов, находящихся в доверительном управлении управляющего инвестиционным портфелем, их размещению, получению инвестиционного дохода;</w:t>
      </w:r>
    </w:p>
    <w:bookmarkEnd w:id="101"/>
    <w:bookmarkStart w:name="z118" w:id="102"/>
    <w:p>
      <w:pPr>
        <w:spacing w:after="0"/>
        <w:ind w:left="0"/>
        <w:jc w:val="both"/>
      </w:pPr>
      <w:r>
        <w:rPr>
          <w:rFonts w:ascii="Times New Roman"/>
          <w:b w:val="false"/>
          <w:i w:val="false"/>
          <w:color w:val="000000"/>
          <w:sz w:val="28"/>
        </w:rPr>
        <w:t>
      5) ежемесячное информирование единого накопительного пенсионного фонда, управляющего инвестиционным портфелем о состоянии счетов единого накопительного пенсионного фонда, предназначенных для учета и хранения денег, а также о движении денег в отчетном периоде по счетам по форме, в порядке и сроки, предусмотренные кастодиальным договором;</w:t>
      </w:r>
    </w:p>
    <w:bookmarkEnd w:id="102"/>
    <w:bookmarkStart w:name="z119" w:id="103"/>
    <w:p>
      <w:pPr>
        <w:spacing w:after="0"/>
        <w:ind w:left="0"/>
        <w:jc w:val="both"/>
      </w:pPr>
      <w:r>
        <w:rPr>
          <w:rFonts w:ascii="Times New Roman"/>
          <w:b w:val="false"/>
          <w:i w:val="false"/>
          <w:color w:val="000000"/>
          <w:sz w:val="28"/>
        </w:rPr>
        <w:t>
      6) ежемесячное представление единому накопительному пенсионному фонду и управляющему инвестиционным портфелем отчета о структуре пенсионных активов единого накопительного пенсионного фонда, находящихся в доверительном управлении управляющего инвестиционным портфелем, по форме, в порядке и сроки, установленные кастодиальным договором;</w:t>
      </w:r>
    </w:p>
    <w:bookmarkEnd w:id="103"/>
    <w:bookmarkStart w:name="z120" w:id="104"/>
    <w:p>
      <w:pPr>
        <w:spacing w:after="0"/>
        <w:ind w:left="0"/>
        <w:jc w:val="both"/>
      </w:pPr>
      <w:r>
        <w:rPr>
          <w:rFonts w:ascii="Times New Roman"/>
          <w:b w:val="false"/>
          <w:i w:val="false"/>
          <w:color w:val="000000"/>
          <w:sz w:val="28"/>
        </w:rPr>
        <w:t>
      7) обеспечение сохранности и учета вверенных ему пенсионных активов единого накопительного пенсионного фонда, находящихся в доверительном управлении управляющего инвестиционным портфелем;</w:t>
      </w:r>
    </w:p>
    <w:bookmarkEnd w:id="104"/>
    <w:bookmarkStart w:name="z121" w:id="105"/>
    <w:p>
      <w:pPr>
        <w:spacing w:after="0"/>
        <w:ind w:left="0"/>
        <w:jc w:val="both"/>
      </w:pPr>
      <w:r>
        <w:rPr>
          <w:rFonts w:ascii="Times New Roman"/>
          <w:b w:val="false"/>
          <w:i w:val="false"/>
          <w:color w:val="000000"/>
          <w:sz w:val="28"/>
        </w:rPr>
        <w:t>
      8) контроль за целевым размещением (использованием) пенсионных активов единого накопительного пенсионного фонда, находящихся в доверительном управлении управляющего инвестиционным портфелем;</w:t>
      </w:r>
    </w:p>
    <w:bookmarkEnd w:id="105"/>
    <w:bookmarkStart w:name="z122" w:id="106"/>
    <w:p>
      <w:pPr>
        <w:spacing w:after="0"/>
        <w:ind w:left="0"/>
        <w:jc w:val="both"/>
      </w:pPr>
      <w:r>
        <w:rPr>
          <w:rFonts w:ascii="Times New Roman"/>
          <w:b w:val="false"/>
          <w:i w:val="false"/>
          <w:color w:val="000000"/>
          <w:sz w:val="28"/>
        </w:rPr>
        <w:t>
      9) контроль за суммами полученного единым накопительным пенсионным фондом комиссионного вознаграждения;</w:t>
      </w:r>
    </w:p>
    <w:bookmarkEnd w:id="106"/>
    <w:bookmarkStart w:name="z123" w:id="107"/>
    <w:p>
      <w:pPr>
        <w:spacing w:after="0"/>
        <w:ind w:left="0"/>
        <w:jc w:val="both"/>
      </w:pPr>
      <w:r>
        <w:rPr>
          <w:rFonts w:ascii="Times New Roman"/>
          <w:b w:val="false"/>
          <w:i w:val="false"/>
          <w:color w:val="000000"/>
          <w:sz w:val="28"/>
        </w:rPr>
        <w:t>
      10) предоставление услуг, предусмотренных кастодиальным договором.</w:t>
      </w:r>
    </w:p>
    <w:bookmarkEnd w:id="107"/>
    <w:bookmarkStart w:name="z124" w:id="108"/>
    <w:p>
      <w:pPr>
        <w:spacing w:after="0"/>
        <w:ind w:left="0"/>
        <w:jc w:val="both"/>
      </w:pPr>
      <w:r>
        <w:rPr>
          <w:rFonts w:ascii="Times New Roman"/>
          <w:b w:val="false"/>
          <w:i w:val="false"/>
          <w:color w:val="000000"/>
          <w:sz w:val="28"/>
        </w:rPr>
        <w:t>
      58-6. Контроль за целевым размещением (использованием) пенсионных активов единого накопительного пенсионного фонда, находящихся в доверительном управлении управляющего инвестиционным портфелем, осуществляется кастодианом путем проверки документов и приказов (поручений) на совершение операций по счетам, открытым в системе учета кастодиана, представленных единым накопительным пенсионным фондом и управляющим инвестиционным портфелем, на соответствие требованиям, установленным:</w:t>
      </w:r>
    </w:p>
    <w:bookmarkEnd w:id="108"/>
    <w:bookmarkStart w:name="z125"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1-3)</w:t>
      </w:r>
      <w:r>
        <w:rPr>
          <w:rFonts w:ascii="Times New Roman"/>
          <w:b w:val="false"/>
          <w:i w:val="false"/>
          <w:color w:val="000000"/>
          <w:sz w:val="28"/>
        </w:rPr>
        <w:t xml:space="preserve"> статьи 8 Закона о пенсионном обеспечении,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от 4 июля 2003 года "О государственном регулировании, контроле и надзоре финансового рынка и финансовых организаций" и внутренними документами кастодиана;</w:t>
      </w:r>
    </w:p>
    <w:bookmarkEnd w:id="109"/>
    <w:bookmarkStart w:name="z126" w:id="110"/>
    <w:p>
      <w:pPr>
        <w:spacing w:after="0"/>
        <w:ind w:left="0"/>
        <w:jc w:val="both"/>
      </w:pPr>
      <w:r>
        <w:rPr>
          <w:rFonts w:ascii="Times New Roman"/>
          <w:b w:val="false"/>
          <w:i w:val="false"/>
          <w:color w:val="000000"/>
          <w:sz w:val="28"/>
        </w:rPr>
        <w:t>
      2) инвестиционной декларацией;</w:t>
      </w:r>
    </w:p>
    <w:bookmarkEnd w:id="110"/>
    <w:bookmarkStart w:name="z127" w:id="111"/>
    <w:p>
      <w:pPr>
        <w:spacing w:after="0"/>
        <w:ind w:left="0"/>
        <w:jc w:val="both"/>
      </w:pPr>
      <w:r>
        <w:rPr>
          <w:rFonts w:ascii="Times New Roman"/>
          <w:b w:val="false"/>
          <w:i w:val="false"/>
          <w:color w:val="000000"/>
          <w:sz w:val="28"/>
        </w:rPr>
        <w:t>
      3) мерами надзорного реагирования, примененными уполномоченным органом, направленными на ограничение инвестиционной деятельности управляющего инвестиционным портфелем в отношении пенсионных активов.</w:t>
      </w:r>
    </w:p>
    <w:bookmarkEnd w:id="111"/>
    <w:bookmarkStart w:name="z128" w:id="112"/>
    <w:p>
      <w:pPr>
        <w:spacing w:after="0"/>
        <w:ind w:left="0"/>
        <w:jc w:val="both"/>
      </w:pPr>
      <w:r>
        <w:rPr>
          <w:rFonts w:ascii="Times New Roman"/>
          <w:b w:val="false"/>
          <w:i w:val="false"/>
          <w:color w:val="000000"/>
          <w:sz w:val="28"/>
        </w:rPr>
        <w:t>
      58-7. В рамках выполнения функции по контролю за целевым размещением (использованием) пенсионных активов единого накопительного пенсионного фонда, находящихся в доверительном управлении управляющего инвестиционным портфелем, кастодиан при соответствии полученного приказа на совершение операции за счет пенсионных активов по счетам, открытым в системе учета кастодиана, требованиям, установленным пунктом 58-6 Правил, осуществляет регистрацию (исполнение) операции и направляет отчет об исполнении соответствующего приказа (поручения) лицу, отдавшему данный приказ (данное поручение), не позднее 10:00 часов рабочего дня, следующего за днем регистрации (исполнения) приказа (поручения).</w:t>
      </w:r>
    </w:p>
    <w:bookmarkEnd w:id="112"/>
    <w:bookmarkStart w:name="z129" w:id="113"/>
    <w:p>
      <w:pPr>
        <w:spacing w:after="0"/>
        <w:ind w:left="0"/>
        <w:jc w:val="both"/>
      </w:pPr>
      <w:r>
        <w:rPr>
          <w:rFonts w:ascii="Times New Roman"/>
          <w:b w:val="false"/>
          <w:i w:val="false"/>
          <w:color w:val="000000"/>
          <w:sz w:val="28"/>
        </w:rPr>
        <w:t>
      Направление отчета, указанного в части первой настоящего пункта, не требуется по сделкам, заключенным в торговой системе фондовой биржи.</w:t>
      </w:r>
    </w:p>
    <w:bookmarkEnd w:id="113"/>
    <w:bookmarkStart w:name="z130" w:id="114"/>
    <w:p>
      <w:pPr>
        <w:spacing w:after="0"/>
        <w:ind w:left="0"/>
        <w:jc w:val="both"/>
      </w:pPr>
      <w:r>
        <w:rPr>
          <w:rFonts w:ascii="Times New Roman"/>
          <w:b w:val="false"/>
          <w:i w:val="false"/>
          <w:color w:val="000000"/>
          <w:sz w:val="28"/>
        </w:rPr>
        <w:t>
      58-8. При выявлении несоответствия приказа (поручения) требованиям, указанным в пункте 58-6 Правил, кастодиан незамедлительно уведомляет об этом уполномоченный орган, единый накопительный пенсионный фонд, управляющего инвестиционным портфелем и фондовую биржу, если сделка заключена в ее торговой системе.</w:t>
      </w:r>
    </w:p>
    <w:bookmarkEnd w:id="114"/>
    <w:bookmarkStart w:name="z131" w:id="115"/>
    <w:p>
      <w:pPr>
        <w:spacing w:after="0"/>
        <w:ind w:left="0"/>
        <w:jc w:val="both"/>
      </w:pPr>
      <w:r>
        <w:rPr>
          <w:rFonts w:ascii="Times New Roman"/>
          <w:b w:val="false"/>
          <w:i w:val="false"/>
          <w:color w:val="000000"/>
          <w:sz w:val="28"/>
        </w:rPr>
        <w:t xml:space="preserve">
      58-9. Учет и проведение операций с пенсионными активами единого накопительного пенсионного фонда, находящихся в доверительном управлении управляющего инвестиционным портфелем, а также получение и распределение доходов по ним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Правилами и внутренними документами кастодиана.</w:t>
      </w:r>
    </w:p>
    <w:bookmarkEnd w:id="115"/>
    <w:bookmarkStart w:name="z132" w:id="116"/>
    <w:p>
      <w:pPr>
        <w:spacing w:after="0"/>
        <w:ind w:left="0"/>
        <w:jc w:val="both"/>
      </w:pPr>
      <w:r>
        <w:rPr>
          <w:rFonts w:ascii="Times New Roman"/>
          <w:b w:val="false"/>
          <w:i w:val="false"/>
          <w:color w:val="000000"/>
          <w:sz w:val="28"/>
        </w:rPr>
        <w:t>
      58-10. Кастодиан в целях обеспечения актуального учета пенсионных активов, находящихся в доверительном управлении управляющего инвестиционным портфелем, не реже одного раза в месяц проводит сверку данных своей системы учета пенсионных активов (денег, эмиссионных ценных бумаг и иных финансовых инструментов) на их соответствие данным единого накопительного пенсионного фонда, управляющего инвестиционным портфелем, центрального депозитария, а также с данными зарубежных кастодианов, у которых открыты счета для учета и хранения пенсионных активов единого накопительного пенсионного фонда, находящихся в доверительном управлении управляющего инвестиционным портфелем.</w:t>
      </w:r>
    </w:p>
    <w:bookmarkEnd w:id="116"/>
    <w:bookmarkStart w:name="z133" w:id="117"/>
    <w:p>
      <w:pPr>
        <w:spacing w:after="0"/>
        <w:ind w:left="0"/>
        <w:jc w:val="both"/>
      </w:pPr>
      <w:r>
        <w:rPr>
          <w:rFonts w:ascii="Times New Roman"/>
          <w:b w:val="false"/>
          <w:i w:val="false"/>
          <w:color w:val="000000"/>
          <w:sz w:val="28"/>
        </w:rPr>
        <w:t>
      58-11. Сверка данных системы учета кастодиана с данными центрального депозитария осуществляется в соответствии со сводом правил центрального депозитария.</w:t>
      </w:r>
    </w:p>
    <w:bookmarkEnd w:id="117"/>
    <w:bookmarkStart w:name="z134" w:id="118"/>
    <w:p>
      <w:pPr>
        <w:spacing w:after="0"/>
        <w:ind w:left="0"/>
        <w:jc w:val="both"/>
      </w:pPr>
      <w:r>
        <w:rPr>
          <w:rFonts w:ascii="Times New Roman"/>
          <w:b w:val="false"/>
          <w:i w:val="false"/>
          <w:color w:val="000000"/>
          <w:sz w:val="28"/>
        </w:rPr>
        <w:t>
      Особенности сверки данных системы учета кастодиана с данными единого накопительного пенсионного фонда, управляющего инвестиционным портфелем устанавливаются кастодиальным договором и внутренними документами кастодиана.</w:t>
      </w:r>
    </w:p>
    <w:bookmarkEnd w:id="118"/>
    <w:bookmarkStart w:name="z135" w:id="119"/>
    <w:p>
      <w:pPr>
        <w:spacing w:after="0"/>
        <w:ind w:left="0"/>
        <w:jc w:val="both"/>
      </w:pPr>
      <w:r>
        <w:rPr>
          <w:rFonts w:ascii="Times New Roman"/>
          <w:b w:val="false"/>
          <w:i w:val="false"/>
          <w:color w:val="000000"/>
          <w:sz w:val="28"/>
        </w:rPr>
        <w:t>
      58-12. Кастодиан осуществляет достоверный и актуальный (в день возникновения оснований для изменения данных учета) учет:</w:t>
      </w:r>
    </w:p>
    <w:bookmarkEnd w:id="119"/>
    <w:bookmarkStart w:name="z136" w:id="120"/>
    <w:p>
      <w:pPr>
        <w:spacing w:after="0"/>
        <w:ind w:left="0"/>
        <w:jc w:val="both"/>
      </w:pPr>
      <w:r>
        <w:rPr>
          <w:rFonts w:ascii="Times New Roman"/>
          <w:b w:val="false"/>
          <w:i w:val="false"/>
          <w:color w:val="000000"/>
          <w:sz w:val="28"/>
        </w:rPr>
        <w:t>
      1) сведений, предусмотренных подпунктами 1) и 2) пункта 21 Правил № 210;</w:t>
      </w:r>
    </w:p>
    <w:bookmarkEnd w:id="120"/>
    <w:bookmarkStart w:name="z137" w:id="121"/>
    <w:p>
      <w:pPr>
        <w:spacing w:after="0"/>
        <w:ind w:left="0"/>
        <w:jc w:val="both"/>
      </w:pPr>
      <w:r>
        <w:rPr>
          <w:rFonts w:ascii="Times New Roman"/>
          <w:b w:val="false"/>
          <w:i w:val="false"/>
          <w:color w:val="000000"/>
          <w:sz w:val="28"/>
        </w:rPr>
        <w:t>
      2) операций по счетам единого накопительного пенсионного фонда по учету пенсионных активов, находящихся в доверительном управлении управляющего инвестиционным портфелем, отклоненных (неисполненных) кастодианом по причине их несоответствия требованиям, предусмотренным пунктом 58-6 Правил;</w:t>
      </w:r>
    </w:p>
    <w:bookmarkEnd w:id="121"/>
    <w:bookmarkStart w:name="z138" w:id="122"/>
    <w:p>
      <w:pPr>
        <w:spacing w:after="0"/>
        <w:ind w:left="0"/>
        <w:jc w:val="both"/>
      </w:pPr>
      <w:r>
        <w:rPr>
          <w:rFonts w:ascii="Times New Roman"/>
          <w:b w:val="false"/>
          <w:i w:val="false"/>
          <w:color w:val="000000"/>
          <w:sz w:val="28"/>
        </w:rPr>
        <w:t>
      3) уведомлений, направленных уполномоченному органу о переданных кастодиану приказах (поручениях) управляющего инвестиционным портфелем, несоответствующих требованиям, предусмотренным пунктом 58-6 Правил;</w:t>
      </w:r>
    </w:p>
    <w:bookmarkEnd w:id="122"/>
    <w:bookmarkStart w:name="z139" w:id="123"/>
    <w:p>
      <w:pPr>
        <w:spacing w:after="0"/>
        <w:ind w:left="0"/>
        <w:jc w:val="both"/>
      </w:pPr>
      <w:r>
        <w:rPr>
          <w:rFonts w:ascii="Times New Roman"/>
          <w:b w:val="false"/>
          <w:i w:val="false"/>
          <w:color w:val="000000"/>
          <w:sz w:val="28"/>
        </w:rPr>
        <w:t>
      4) сведений, предусмотренных внутренними документами кастодиана.</w:t>
      </w:r>
    </w:p>
    <w:bookmarkEnd w:id="123"/>
    <w:bookmarkStart w:name="z140" w:id="124"/>
    <w:p>
      <w:pPr>
        <w:spacing w:after="0"/>
        <w:ind w:left="0"/>
        <w:jc w:val="both"/>
      </w:pPr>
      <w:r>
        <w:rPr>
          <w:rFonts w:ascii="Times New Roman"/>
          <w:b w:val="false"/>
          <w:i w:val="false"/>
          <w:color w:val="000000"/>
          <w:sz w:val="28"/>
        </w:rPr>
        <w:t>
      Учет сведений, указанных в настоящем пункте, осуществляется посредством программного обеспечения кастодиана с возможностью формирования соответствующих журналов учета.";</w:t>
      </w:r>
    </w:p>
    <w:bookmarkEnd w:id="124"/>
    <w:bookmarkStart w:name="z141" w:id="1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25"/>
    <w:bookmarkStart w:name="z142" w:id="126"/>
    <w:p>
      <w:pPr>
        <w:spacing w:after="0"/>
        <w:ind w:left="0"/>
        <w:jc w:val="both"/>
      </w:pPr>
      <w:r>
        <w:rPr>
          <w:rFonts w:ascii="Times New Roman"/>
          <w:b w:val="false"/>
          <w:i w:val="false"/>
          <w:color w:val="000000"/>
          <w:sz w:val="28"/>
        </w:rPr>
        <w:t>
      "Глава 6. Порядок передачи активов клиентов новому кастодиану";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44" w:id="127"/>
    <w:p>
      <w:pPr>
        <w:spacing w:after="0"/>
        <w:ind w:left="0"/>
        <w:jc w:val="both"/>
      </w:pPr>
      <w:r>
        <w:rPr>
          <w:rFonts w:ascii="Times New Roman"/>
          <w:b w:val="false"/>
          <w:i w:val="false"/>
          <w:color w:val="000000"/>
          <w:sz w:val="28"/>
        </w:rPr>
        <w:t>
      "59. Передача кастодианом пенсионных активов единого накопительного пенсионного фонда, находящихся в доверительном управлении управляющего инвестиционным портфелем, активов добровольного накопительного пенсионного фонда, активов инвестиционного фонда и выделенных активов специальной финансовой компании новому кастодиану осуществляется уполномоченными представителями действующего и нового кастодиана после заключения клиентом кастодиального договора с новым кастодианом.";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 </w:t>
      </w:r>
    </w:p>
    <w:bookmarkStart w:name="z146" w:id="128"/>
    <w:p>
      <w:pPr>
        <w:spacing w:after="0"/>
        <w:ind w:left="0"/>
        <w:jc w:val="both"/>
      </w:pPr>
      <w:r>
        <w:rPr>
          <w:rFonts w:ascii="Times New Roman"/>
          <w:b w:val="false"/>
          <w:i w:val="false"/>
          <w:color w:val="000000"/>
          <w:sz w:val="28"/>
        </w:rPr>
        <w:t>
      "66. Акт приема-передачи пенсионных активов добровольного накопительного пенсионного фонда составляется по состоянию на дату расторжения кастодиального договора в четырех экземплярах по одному экземпляру для добровольного накопительного пенсионного фонда, кастодиана, нового кастодиана, уполномоченного органа, подписывается первыми руководителями и главными бухгалтерами добровольного накопительного пенсионного фонда, кастодиана и нового кастодиана.</w:t>
      </w:r>
    </w:p>
    <w:bookmarkEnd w:id="128"/>
    <w:bookmarkStart w:name="z147" w:id="129"/>
    <w:p>
      <w:pPr>
        <w:spacing w:after="0"/>
        <w:ind w:left="0"/>
        <w:jc w:val="both"/>
      </w:pPr>
      <w:r>
        <w:rPr>
          <w:rFonts w:ascii="Times New Roman"/>
          <w:b w:val="false"/>
          <w:i w:val="false"/>
          <w:color w:val="000000"/>
          <w:sz w:val="28"/>
        </w:rPr>
        <w:t>
      Акт приема-передачи пенсионных активов единого накопительного пенсионного фонда, находящихся в доверительном управлении управляющего инвестиционным портфелем, составляется по состоянию на дату расторжения кастодиального договора в пяти экземплярах по одному экземпляру для единого накопительного пенсионного фонда, управляющего инвестиционным портфелем, кастодиана, нового кастодиана, уполномоченного органа, подписывается первыми руководителями и главными бухгалтерами единого накопительного пенсионного фонда, управляющего инвестиционным портфелем, кастодиана и нового кастодиана.";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49" w:id="130"/>
    <w:p>
      <w:pPr>
        <w:spacing w:after="0"/>
        <w:ind w:left="0"/>
        <w:jc w:val="both"/>
      </w:pPr>
      <w:r>
        <w:rPr>
          <w:rFonts w:ascii="Times New Roman"/>
          <w:b w:val="false"/>
          <w:i w:val="false"/>
          <w:color w:val="000000"/>
          <w:sz w:val="28"/>
        </w:rPr>
        <w:t>
      "69. Экземпляры акта приема-передачи пенсионных активов единого накопительного пенсионного фонда, находящихся в доверительном управлении управляющего инвестиционным портфелем, пенсионных активов добровольного накопительного пенсионного фонда, выделенных активов специальной финансовой компании, активов инвестиционного фонда представляются уполномоченному органу кастодианом, принимающим активы в кастодиальное обслуживание, в течение трех рабочих дней со дня его подписания.";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70-1</w:t>
      </w:r>
      <w:r>
        <w:rPr>
          <w:rFonts w:ascii="Times New Roman"/>
          <w:b w:val="false"/>
          <w:i w:val="false"/>
          <w:color w:val="000000"/>
          <w:sz w:val="28"/>
        </w:rPr>
        <w:t xml:space="preserve"> изложить в следующей редакции:</w:t>
      </w:r>
    </w:p>
    <w:bookmarkStart w:name="z151" w:id="131"/>
    <w:p>
      <w:pPr>
        <w:spacing w:after="0"/>
        <w:ind w:left="0"/>
        <w:jc w:val="both"/>
      </w:pPr>
      <w:r>
        <w:rPr>
          <w:rFonts w:ascii="Times New Roman"/>
          <w:b w:val="false"/>
          <w:i w:val="false"/>
          <w:color w:val="000000"/>
          <w:sz w:val="28"/>
        </w:rPr>
        <w:t xml:space="preserve">
      "70-1. Порядок передачи активов клиентов новому кастодиану, установленный настоящей главой, не распространяется на передачу кастодианом активов клиентов в рамках проведения операции по одновременной передаче активов и обязательств между родительским банком (далее - родительский банк - новый кастодиан) и дочерним банком (далее - дочерний банк - кастодиан), за исключением требований, предусмотренных в </w:t>
      </w:r>
      <w:r>
        <w:rPr>
          <w:rFonts w:ascii="Times New Roman"/>
          <w:b w:val="false"/>
          <w:i w:val="false"/>
          <w:color w:val="000000"/>
          <w:sz w:val="28"/>
        </w:rPr>
        <w:t>пункте 60</w:t>
      </w:r>
      <w:r>
        <w:rPr>
          <w:rFonts w:ascii="Times New Roman"/>
          <w:b w:val="false"/>
          <w:i w:val="false"/>
          <w:color w:val="000000"/>
          <w:sz w:val="28"/>
        </w:rPr>
        <w:t xml:space="preserve">, подпунктах 1) и 3) </w:t>
      </w:r>
      <w:r>
        <w:rPr>
          <w:rFonts w:ascii="Times New Roman"/>
          <w:b w:val="false"/>
          <w:i w:val="false"/>
          <w:color w:val="000000"/>
          <w:sz w:val="28"/>
        </w:rPr>
        <w:t>пункта 61</w:t>
      </w:r>
      <w:r>
        <w:rPr>
          <w:rFonts w:ascii="Times New Roman"/>
          <w:b w:val="false"/>
          <w:i w:val="false"/>
          <w:color w:val="000000"/>
          <w:sz w:val="28"/>
        </w:rPr>
        <w:t xml:space="preserve">, подпунктах 2), 3), 4), 5), 6) и 7) </w:t>
      </w:r>
      <w:r>
        <w:rPr>
          <w:rFonts w:ascii="Times New Roman"/>
          <w:b w:val="false"/>
          <w:i w:val="false"/>
          <w:color w:val="000000"/>
          <w:sz w:val="28"/>
        </w:rPr>
        <w:t>пункта 62</w:t>
      </w:r>
      <w:r>
        <w:rPr>
          <w:rFonts w:ascii="Times New Roman"/>
          <w:b w:val="false"/>
          <w:i w:val="false"/>
          <w:color w:val="000000"/>
          <w:sz w:val="28"/>
        </w:rPr>
        <w:t xml:space="preserve">, </w:t>
      </w:r>
      <w:r>
        <w:rPr>
          <w:rFonts w:ascii="Times New Roman"/>
          <w:b w:val="false"/>
          <w:i w:val="false"/>
          <w:color w:val="000000"/>
          <w:sz w:val="28"/>
        </w:rPr>
        <w:t>пункте 64</w:t>
      </w:r>
      <w:r>
        <w:rPr>
          <w:rFonts w:ascii="Times New Roman"/>
          <w:b w:val="false"/>
          <w:i w:val="false"/>
          <w:color w:val="000000"/>
          <w:sz w:val="28"/>
        </w:rPr>
        <w:t xml:space="preserve">, части второй </w:t>
      </w:r>
      <w:r>
        <w:rPr>
          <w:rFonts w:ascii="Times New Roman"/>
          <w:b w:val="false"/>
          <w:i w:val="false"/>
          <w:color w:val="000000"/>
          <w:sz w:val="28"/>
        </w:rPr>
        <w:t>пункта 66</w:t>
      </w:r>
      <w:r>
        <w:rPr>
          <w:rFonts w:ascii="Times New Roman"/>
          <w:b w:val="false"/>
          <w:i w:val="false"/>
          <w:color w:val="000000"/>
          <w:sz w:val="28"/>
        </w:rPr>
        <w:t xml:space="preserve">, </w:t>
      </w:r>
      <w:r>
        <w:rPr>
          <w:rFonts w:ascii="Times New Roman"/>
          <w:b w:val="false"/>
          <w:i w:val="false"/>
          <w:color w:val="000000"/>
          <w:sz w:val="28"/>
        </w:rPr>
        <w:t>пунктами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Правил.</w:t>
      </w:r>
    </w:p>
    <w:bookmarkEnd w:id="131"/>
    <w:bookmarkStart w:name="z152" w:id="132"/>
    <w:p>
      <w:pPr>
        <w:spacing w:after="0"/>
        <w:ind w:left="0"/>
        <w:jc w:val="both"/>
      </w:pPr>
      <w:r>
        <w:rPr>
          <w:rFonts w:ascii="Times New Roman"/>
          <w:b w:val="false"/>
          <w:i w:val="false"/>
          <w:color w:val="000000"/>
          <w:sz w:val="28"/>
        </w:rPr>
        <w:t>
      В случае, указанном в части первой настоящего пункта, дочерний банк - кастодиан передает активы клиентов родительскому банку - новому кастодиану на основании акта приема-передачи активов клиента без расторжения клиентом кастодиального договора с дочерним банком - кастодианом и без заключения клиентом кастодиального договора с родительским банком - новым кастодианом.</w:t>
      </w:r>
    </w:p>
    <w:bookmarkEnd w:id="132"/>
    <w:bookmarkStart w:name="z153" w:id="133"/>
    <w:p>
      <w:pPr>
        <w:spacing w:after="0"/>
        <w:ind w:left="0"/>
        <w:jc w:val="both"/>
      </w:pPr>
      <w:r>
        <w:rPr>
          <w:rFonts w:ascii="Times New Roman"/>
          <w:b w:val="false"/>
          <w:i w:val="false"/>
          <w:color w:val="000000"/>
          <w:sz w:val="28"/>
        </w:rPr>
        <w:t>
      Операции по списанию активов клиента у дочернего банка - кастодиана и зачислению у родительского банка - нового кастодиана проводятся кастодианами на основании акта приема-передачи активов клиента без предоставления клиентом приказов на проведение операций по списанию (зачислению) с (на) лицевых (лицевые), текущих (текущие) счетов (счета). Открытие родительским банком - новым кастодианом лицевых, текущих счетов клиенту осуществляется без предоставления приказов на открытие лицевых, текущих счетов.</w:t>
      </w:r>
    </w:p>
    <w:bookmarkEnd w:id="133"/>
    <w:bookmarkStart w:name="z154" w:id="134"/>
    <w:p>
      <w:pPr>
        <w:spacing w:after="0"/>
        <w:ind w:left="0"/>
        <w:jc w:val="both"/>
      </w:pPr>
      <w:r>
        <w:rPr>
          <w:rFonts w:ascii="Times New Roman"/>
          <w:b w:val="false"/>
          <w:i w:val="false"/>
          <w:color w:val="000000"/>
          <w:sz w:val="28"/>
        </w:rPr>
        <w:t>
      Акт приема-передачи активов клиента подписывается первыми руководителями и главными бухгалтерами дочернего банка – кастодиана и родительского банка - нового кастодиана.</w:t>
      </w:r>
    </w:p>
    <w:bookmarkEnd w:id="134"/>
    <w:bookmarkStart w:name="z155" w:id="135"/>
    <w:p>
      <w:pPr>
        <w:spacing w:after="0"/>
        <w:ind w:left="0"/>
        <w:jc w:val="both"/>
      </w:pPr>
      <w:r>
        <w:rPr>
          <w:rFonts w:ascii="Times New Roman"/>
          <w:b w:val="false"/>
          <w:i w:val="false"/>
          <w:color w:val="000000"/>
          <w:sz w:val="28"/>
        </w:rPr>
        <w:t>
      Отсутствие письменного возражения от клиента и приказа клиента на перевод активов в течение 10 (десяти) рабочих дней со дня публикации объявления при проведении операции по одновременной передаче активов и обязательств между родительским банком - новым кастодианом и дочерним банком - кастодианом рассматривается как согласие клиента на передачу активов родительскому банку - новому кастодиану.";</w:t>
      </w:r>
    </w:p>
    <w:bookmarkEnd w:id="135"/>
    <w:bookmarkStart w:name="z156" w:id="1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36"/>
    <w:bookmarkStart w:name="z157" w:id="137"/>
    <w:p>
      <w:pPr>
        <w:spacing w:after="0"/>
        <w:ind w:left="0"/>
        <w:jc w:val="both"/>
      </w:pPr>
      <w:r>
        <w:rPr>
          <w:rFonts w:ascii="Times New Roman"/>
          <w:b w:val="false"/>
          <w:i w:val="false"/>
          <w:color w:val="000000"/>
          <w:sz w:val="28"/>
        </w:rPr>
        <w:t>
      "Глава 7. Порядок действий кастодиана по выбору нового управляющего инвестиционным портфелем, осуществляющего инвестиционное управление активами инвестиционного фонда, а также по прекращению существования паевого инвестиционного фонда в случае приостановления действия или лишения лицензии управляющего инвестиционным портфелем на осуществление деятельности по управлению инвестиционным портфелем.".</w:t>
      </w:r>
    </w:p>
    <w:bookmarkEnd w:id="137"/>
    <w:bookmarkStart w:name="z158" w:id="13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опубликовано 16 апреля 2014 года в информационно-правовой системе "Әділет") следующие изменения и дополнение:</w:t>
      </w:r>
    </w:p>
    <w:bookmarkEnd w:id="138"/>
    <w:bookmarkStart w:name="z159"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1" w:id="140"/>
    <w:p>
      <w:pPr>
        <w:spacing w:after="0"/>
        <w:ind w:left="0"/>
        <w:jc w:val="both"/>
      </w:pPr>
      <w:r>
        <w:rPr>
          <w:rFonts w:ascii="Times New Roman"/>
          <w:b w:val="false"/>
          <w:i w:val="false"/>
          <w:color w:val="000000"/>
          <w:sz w:val="28"/>
        </w:rPr>
        <w:t>
      "2. Действие Правил распространяется на:</w:t>
      </w:r>
    </w:p>
    <w:bookmarkEnd w:id="140"/>
    <w:bookmarkStart w:name="z162" w:id="141"/>
    <w:p>
      <w:pPr>
        <w:spacing w:after="0"/>
        <w:ind w:left="0"/>
        <w:jc w:val="both"/>
      </w:pPr>
      <w:r>
        <w:rPr>
          <w:rFonts w:ascii="Times New Roman"/>
          <w:b w:val="false"/>
          <w:i w:val="false"/>
          <w:color w:val="000000"/>
          <w:sz w:val="28"/>
        </w:rPr>
        <w:t>
      1) банки, филиалы банков-нерезидентов Республики Казахстан, являющиеся брокерами и (или) дилерами, в части, не противоречащей законодательству Республики Казахстан, регулирующему банковскую деятельность, за исключением Национального Банка Республики Казахстан;</w:t>
      </w:r>
    </w:p>
    <w:bookmarkEnd w:id="141"/>
    <w:bookmarkStart w:name="z163" w:id="142"/>
    <w:p>
      <w:pPr>
        <w:spacing w:after="0"/>
        <w:ind w:left="0"/>
        <w:jc w:val="both"/>
      </w:pPr>
      <w:r>
        <w:rPr>
          <w:rFonts w:ascii="Times New Roman"/>
          <w:b w:val="false"/>
          <w:i w:val="false"/>
          <w:color w:val="000000"/>
          <w:sz w:val="28"/>
        </w:rPr>
        <w:t>
      2) организации, осуществляющие деятельность по управлению инвестиционным портфелем, добровольные накопительные пенсионные фонды, являющиеся брокерами и (или) дилерами, в части, не противоречащей законодательству Республики Казахстан о пенсионном обеспечении;</w:t>
      </w:r>
    </w:p>
    <w:bookmarkEnd w:id="142"/>
    <w:bookmarkStart w:name="z164" w:id="143"/>
    <w:p>
      <w:pPr>
        <w:spacing w:after="0"/>
        <w:ind w:left="0"/>
        <w:jc w:val="both"/>
      </w:pP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и венчурных фондах.";</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66" w:id="144"/>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bookmarkEnd w:id="144"/>
    <w:bookmarkStart w:name="z167" w:id="145"/>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145"/>
    <w:bookmarkStart w:name="z168" w:id="146"/>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46"/>
    <w:bookmarkStart w:name="z169" w:id="147"/>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47"/>
    <w:bookmarkStart w:name="z170" w:id="148"/>
    <w:p>
      <w:pPr>
        <w:spacing w:after="0"/>
        <w:ind w:left="0"/>
        <w:jc w:val="both"/>
      </w:pPr>
      <w:r>
        <w:rPr>
          <w:rFonts w:ascii="Times New Roman"/>
          <w:b w:val="false"/>
          <w:i w:val="false"/>
          <w:color w:val="000000"/>
          <w:sz w:val="28"/>
        </w:rPr>
        <w:t>
      организация, имеющая статус центрального депозитария, иностранный орган надзора страны происхождения которого,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148"/>
    <w:bookmarkStart w:name="z171" w:id="149"/>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149"/>
    <w:bookmarkStart w:name="z172" w:id="150"/>
    <w:p>
      <w:pPr>
        <w:spacing w:after="0"/>
        <w:ind w:left="0"/>
        <w:jc w:val="both"/>
      </w:pPr>
      <w:r>
        <w:rPr>
          <w:rFonts w:ascii="Times New Roman"/>
          <w:b w:val="false"/>
          <w:i w:val="false"/>
          <w:color w:val="000000"/>
          <w:sz w:val="28"/>
        </w:rPr>
        <w:t xml:space="preserve">
      иностранная организация, осуществляющая в соответствии с законодательством страны, в которой она зарегистрирована в качестве юридического лица,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соответствующая следующим условиям:</w:t>
      </w:r>
    </w:p>
    <w:bookmarkEnd w:id="150"/>
    <w:bookmarkStart w:name="z173" w:id="151"/>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151"/>
    <w:bookmarkStart w:name="z174" w:id="152"/>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152"/>
    <w:bookmarkStart w:name="z175" w:id="153"/>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 либо имеющим членство в одной или в нескольких международных финансовых ассоциациях: Международная ассоциация рынков капитала (ICMA), Международная ассоциация профессионалов валютного и денежного рынков (ACI the Financial Markets Association ), Ассоциация финансовых рынков Европы (AFME).";</w:t>
      </w:r>
    </w:p>
    <w:bookmarkEnd w:id="153"/>
    <w:bookmarkStart w:name="z176" w:id="15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54"/>
    <w:bookmarkStart w:name="z177" w:id="155"/>
    <w:p>
      <w:pPr>
        <w:spacing w:after="0"/>
        <w:ind w:left="0"/>
        <w:jc w:val="both"/>
      </w:pPr>
      <w:r>
        <w:rPr>
          <w:rFonts w:ascii="Times New Roman"/>
          <w:b w:val="false"/>
          <w:i w:val="false"/>
          <w:color w:val="000000"/>
          <w:sz w:val="28"/>
        </w:rPr>
        <w:t>
      "Глава 4. Совершение сделок с финансовыми инструментами, за исключением сделок с иностранной валютой, совершаемых брокером и (или) дилером, не являющимся банком, филиалом банка-нерезидента Республики Казахстан";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79" w:id="156"/>
    <w:p>
      <w:pPr>
        <w:spacing w:after="0"/>
        <w:ind w:left="0"/>
        <w:jc w:val="both"/>
      </w:pPr>
      <w:r>
        <w:rPr>
          <w:rFonts w:ascii="Times New Roman"/>
          <w:b w:val="false"/>
          <w:i w:val="false"/>
          <w:color w:val="000000"/>
          <w:sz w:val="28"/>
        </w:rPr>
        <w:t xml:space="preserve">
      "45. Брокер и (или) дилер первой категории, не являющийся банком, филиалом банка-нерезидента Республики Казахстан или не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открывает банковские счета для учета и хранения денег, принадлежащих клиентам, в банках и (или) филиалах банков-нерезидентов Республики Казахстан и (или) центральном депозитарии, и (или) клиринговых организациях, и (или) расчетных организациях, и (или) иностранных расчетных организациях.";</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45-2</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81" w:id="157"/>
    <w:p>
      <w:pPr>
        <w:spacing w:after="0"/>
        <w:ind w:left="0"/>
        <w:jc w:val="both"/>
      </w:pPr>
      <w:r>
        <w:rPr>
          <w:rFonts w:ascii="Times New Roman"/>
          <w:b w:val="false"/>
          <w:i w:val="false"/>
          <w:color w:val="000000"/>
          <w:sz w:val="28"/>
        </w:rPr>
        <w:t>
      "45-2. Брокер и (или) дилер, не являющийся банком, филиалом банка-нерезидента Республики Казахстан, не принимает наличные деньги от клиентов для зачисления на банковские счета, предназначенные для учета и хранения денег клиентов.</w:t>
      </w:r>
    </w:p>
    <w:bookmarkEnd w:id="157"/>
    <w:bookmarkStart w:name="z182" w:id="158"/>
    <w:p>
      <w:pPr>
        <w:spacing w:after="0"/>
        <w:ind w:left="0"/>
        <w:jc w:val="both"/>
      </w:pPr>
      <w:r>
        <w:rPr>
          <w:rFonts w:ascii="Times New Roman"/>
          <w:b w:val="false"/>
          <w:i w:val="false"/>
          <w:color w:val="000000"/>
          <w:sz w:val="28"/>
        </w:rPr>
        <w:t>
      46. Сделки брокера и (или) дилера, являющегося банком, филиалом банка-нерезидента Республики Казахстан, с финансовыми инструментами заключаются на организованном рынке ценных бумаг, за исключением следующих случаев заключения сделок, которые могут быть осуществлены как на организованном рынке ценных бумаг, так и неорганизованном рынке ценных бумаг:</w:t>
      </w:r>
    </w:p>
    <w:bookmarkEnd w:id="158"/>
    <w:bookmarkStart w:name="z183" w:id="159"/>
    <w:p>
      <w:pPr>
        <w:spacing w:after="0"/>
        <w:ind w:left="0"/>
        <w:jc w:val="both"/>
      </w:pPr>
      <w:r>
        <w:rPr>
          <w:rFonts w:ascii="Times New Roman"/>
          <w:b w:val="false"/>
          <w:i w:val="false"/>
          <w:color w:val="000000"/>
          <w:sz w:val="28"/>
        </w:rPr>
        <w:t xml:space="preserve">
      1) заключения сделок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(зарегистрированным в Реестре государственной регистрации нормативных правовых актов под № 4892);</w:t>
      </w:r>
    </w:p>
    <w:bookmarkEnd w:id="159"/>
    <w:bookmarkStart w:name="z184" w:id="160"/>
    <w:p>
      <w:pPr>
        <w:spacing w:after="0"/>
        <w:ind w:left="0"/>
        <w:jc w:val="both"/>
      </w:pPr>
      <w:r>
        <w:rPr>
          <w:rFonts w:ascii="Times New Roman"/>
          <w:b w:val="false"/>
          <w:i w:val="false"/>
          <w:color w:val="000000"/>
          <w:sz w:val="28"/>
        </w:rPr>
        <w:t>
      2) заключения сделок с государственными ценными бумагами Республики Казахстан при их размещении на первичном рынке;</w:t>
      </w:r>
    </w:p>
    <w:bookmarkEnd w:id="160"/>
    <w:bookmarkStart w:name="z185" w:id="161"/>
    <w:p>
      <w:pPr>
        <w:spacing w:after="0"/>
        <w:ind w:left="0"/>
        <w:jc w:val="both"/>
      </w:pPr>
      <w:r>
        <w:rPr>
          <w:rFonts w:ascii="Times New Roman"/>
          <w:b w:val="false"/>
          <w:i w:val="false"/>
          <w:color w:val="000000"/>
          <w:sz w:val="28"/>
        </w:rPr>
        <w:t xml:space="preserve">
      3) заключения сделок с облигациями, имеющими статус государственных ценных бумаг, выпущенными центральными правительствами иностранных государств, имеющими рейтинг,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 при их размещении на первичном рынке;</w:t>
      </w:r>
    </w:p>
    <w:bookmarkEnd w:id="161"/>
    <w:bookmarkStart w:name="z186" w:id="162"/>
    <w:p>
      <w:pPr>
        <w:spacing w:after="0"/>
        <w:ind w:left="0"/>
        <w:jc w:val="both"/>
      </w:pPr>
      <w:r>
        <w:rPr>
          <w:rFonts w:ascii="Times New Roman"/>
          <w:b w:val="false"/>
          <w:i w:val="false"/>
          <w:color w:val="000000"/>
          <w:sz w:val="28"/>
        </w:rPr>
        <w:t xml:space="preserve">
      4) заключения сделок с негосударственными ценными бумагами, разрешенными к приобретению банками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при их размещении на первичном рынке;</w:t>
      </w:r>
    </w:p>
    <w:bookmarkEnd w:id="162"/>
    <w:bookmarkStart w:name="z187" w:id="163"/>
    <w:p>
      <w:pPr>
        <w:spacing w:after="0"/>
        <w:ind w:left="0"/>
        <w:jc w:val="both"/>
      </w:pPr>
      <w:r>
        <w:rPr>
          <w:rFonts w:ascii="Times New Roman"/>
          <w:b w:val="false"/>
          <w:i w:val="false"/>
          <w:color w:val="000000"/>
          <w:sz w:val="28"/>
        </w:rPr>
        <w:t>
      5) реализации права преимущественной покупки.";</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val="false"/>
          <w:color w:val="000000"/>
          <w:sz w:val="28"/>
        </w:rPr>
        <w:t xml:space="preserve">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 </w:t>
      </w:r>
    </w:p>
    <w:bookmarkStart w:name="z189" w:id="164"/>
    <w:p>
      <w:pPr>
        <w:spacing w:after="0"/>
        <w:ind w:left="0"/>
        <w:jc w:val="both"/>
      </w:pPr>
      <w:r>
        <w:rPr>
          <w:rFonts w:ascii="Times New Roman"/>
          <w:b w:val="false"/>
          <w:i w:val="false"/>
          <w:color w:val="000000"/>
          <w:sz w:val="28"/>
        </w:rPr>
        <w:t>
      "52. Брокер и (или) дилер не заключает сделки с финансовыми инструментами на неорганизованном рынке, условиями которых предусматривается обязательство обратного выкупа либо обратной продажи финансовых инструментов, являющихся предметом сделки, за исключением сделок на срок не более 90 (девяноста) календарных дней (с учетом продления первоначального срока указанных операций), контрагентом в которых выступают юридические лица, имеющие долгосрочную кредитную рейтинговую оценку не ниже "ВВ-"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Fitch (Фич), и (или) следующие международные финансовые организации:</w:t>
      </w:r>
    </w:p>
    <w:bookmarkEnd w:id="164"/>
    <w:bookmarkStart w:name="z190" w:id="165"/>
    <w:p>
      <w:pPr>
        <w:spacing w:after="0"/>
        <w:ind w:left="0"/>
        <w:jc w:val="both"/>
      </w:pPr>
      <w:r>
        <w:rPr>
          <w:rFonts w:ascii="Times New Roman"/>
          <w:b w:val="false"/>
          <w:i w:val="false"/>
          <w:color w:val="000000"/>
          <w:sz w:val="28"/>
        </w:rPr>
        <w:t>
      Азиатский банк развития (the Asian Development Bank);</w:t>
      </w:r>
    </w:p>
    <w:bookmarkEnd w:id="165"/>
    <w:bookmarkStart w:name="z191" w:id="166"/>
    <w:p>
      <w:pPr>
        <w:spacing w:after="0"/>
        <w:ind w:left="0"/>
        <w:jc w:val="both"/>
      </w:pPr>
      <w:r>
        <w:rPr>
          <w:rFonts w:ascii="Times New Roman"/>
          <w:b w:val="false"/>
          <w:i w:val="false"/>
          <w:color w:val="000000"/>
          <w:sz w:val="28"/>
        </w:rPr>
        <w:t>
      Межамериканский банк развития (the Inter-American Development Bank);</w:t>
      </w:r>
    </w:p>
    <w:bookmarkEnd w:id="166"/>
    <w:bookmarkStart w:name="z192" w:id="167"/>
    <w:p>
      <w:pPr>
        <w:spacing w:after="0"/>
        <w:ind w:left="0"/>
        <w:jc w:val="both"/>
      </w:pPr>
      <w:r>
        <w:rPr>
          <w:rFonts w:ascii="Times New Roman"/>
          <w:b w:val="false"/>
          <w:i w:val="false"/>
          <w:color w:val="000000"/>
          <w:sz w:val="28"/>
        </w:rPr>
        <w:t>
      Африканский банк развития (the African Development Bank);</w:t>
      </w:r>
    </w:p>
    <w:bookmarkEnd w:id="167"/>
    <w:bookmarkStart w:name="z193" w:id="168"/>
    <w:p>
      <w:pPr>
        <w:spacing w:after="0"/>
        <w:ind w:left="0"/>
        <w:jc w:val="both"/>
      </w:pPr>
      <w:r>
        <w:rPr>
          <w:rFonts w:ascii="Times New Roman"/>
          <w:b w:val="false"/>
          <w:i w:val="false"/>
          <w:color w:val="000000"/>
          <w:sz w:val="28"/>
        </w:rPr>
        <w:t>
      Евразийский банк развития (Eurasian Development Bank);</w:t>
      </w:r>
    </w:p>
    <w:bookmarkEnd w:id="168"/>
    <w:bookmarkStart w:name="z194" w:id="169"/>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69"/>
    <w:bookmarkStart w:name="z195" w:id="170"/>
    <w:p>
      <w:pPr>
        <w:spacing w:after="0"/>
        <w:ind w:left="0"/>
        <w:jc w:val="both"/>
      </w:pPr>
      <w:r>
        <w:rPr>
          <w:rFonts w:ascii="Times New Roman"/>
          <w:b w:val="false"/>
          <w:i w:val="false"/>
          <w:color w:val="000000"/>
          <w:sz w:val="28"/>
        </w:rPr>
        <w:t>
      Европейский инвестиционный банк (the European Investment Bank);</w:t>
      </w:r>
    </w:p>
    <w:bookmarkEnd w:id="170"/>
    <w:bookmarkStart w:name="z196" w:id="171"/>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71"/>
    <w:bookmarkStart w:name="z197" w:id="172"/>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72"/>
    <w:bookmarkStart w:name="z198" w:id="173"/>
    <w:p>
      <w:pPr>
        <w:spacing w:after="0"/>
        <w:ind w:left="0"/>
        <w:jc w:val="both"/>
      </w:pPr>
      <w:r>
        <w:rPr>
          <w:rFonts w:ascii="Times New Roman"/>
          <w:b w:val="false"/>
          <w:i w:val="false"/>
          <w:color w:val="000000"/>
          <w:sz w:val="28"/>
        </w:rPr>
        <w:t>
      Исламский банк развития (the Islamic Development Bank);</w:t>
      </w:r>
    </w:p>
    <w:bookmarkEnd w:id="173"/>
    <w:bookmarkStart w:name="z199" w:id="174"/>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74"/>
    <w:bookmarkStart w:name="z200" w:id="175"/>
    <w:p>
      <w:pPr>
        <w:spacing w:after="0"/>
        <w:ind w:left="0"/>
        <w:jc w:val="both"/>
      </w:pPr>
      <w:r>
        <w:rPr>
          <w:rFonts w:ascii="Times New Roman"/>
          <w:b w:val="false"/>
          <w:i w:val="false"/>
          <w:color w:val="000000"/>
          <w:sz w:val="28"/>
        </w:rPr>
        <w:t>
      Скандинавский инвестиционный банк (the Nordic Investment Bank);</w:t>
      </w:r>
    </w:p>
    <w:bookmarkEnd w:id="175"/>
    <w:bookmarkStart w:name="z201" w:id="176"/>
    <w:p>
      <w:pPr>
        <w:spacing w:after="0"/>
        <w:ind w:left="0"/>
        <w:jc w:val="both"/>
      </w:pPr>
      <w:r>
        <w:rPr>
          <w:rFonts w:ascii="Times New Roman"/>
          <w:b w:val="false"/>
          <w:i w:val="false"/>
          <w:color w:val="000000"/>
          <w:sz w:val="28"/>
        </w:rPr>
        <w:t>
      Международный валютный фонд (the International Monetary Fund);</w:t>
      </w:r>
    </w:p>
    <w:bookmarkEnd w:id="176"/>
    <w:bookmarkStart w:name="z202" w:id="177"/>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77"/>
    <w:bookmarkStart w:name="z203" w:id="178"/>
    <w:p>
      <w:pPr>
        <w:spacing w:after="0"/>
        <w:ind w:left="0"/>
        <w:jc w:val="both"/>
      </w:pPr>
      <w:r>
        <w:rPr>
          <w:rFonts w:ascii="Times New Roman"/>
          <w:b w:val="false"/>
          <w:i w:val="false"/>
          <w:color w:val="000000"/>
          <w:sz w:val="28"/>
        </w:rPr>
        <w:t>
      Банк международных расчетов (the Bank for International Settlements);</w:t>
      </w:r>
    </w:p>
    <w:bookmarkEnd w:id="178"/>
    <w:bookmarkStart w:name="z204" w:id="179"/>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79"/>
    <w:bookmarkStart w:name="z205" w:id="180"/>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80"/>
    <w:bookmarkStart w:name="z206" w:id="181"/>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81"/>
    <w:bookmarkStart w:name="z207" w:id="182"/>
    <w:p>
      <w:pPr>
        <w:spacing w:after="0"/>
        <w:ind w:left="0"/>
        <w:jc w:val="both"/>
      </w:pPr>
      <w:r>
        <w:rPr>
          <w:rFonts w:ascii="Times New Roman"/>
          <w:b w:val="false"/>
          <w:i w:val="false"/>
          <w:color w:val="000000"/>
          <w:sz w:val="28"/>
        </w:rPr>
        <w:t>
      53. Операции "репо" в торговой системе фондовой биржи, а также операции, предусматривающие обязательство обратного выкупа или продажи финансовых инструментов, являющихся предметом сделки, осуществляемые брокером и (или) дилером на международных (иностранных) рынках ценных бумаг, совершаются за счет собственных денег брокера и (или) дилера либо в соответствии с приказом клиента в рамках брокерского договора на срок не более 90 (девяноста) календарных дней (с учетом продления первоначального срока указанных операций).</w:t>
      </w:r>
    </w:p>
    <w:bookmarkEnd w:id="182"/>
    <w:bookmarkStart w:name="z208" w:id="183"/>
    <w:p>
      <w:pPr>
        <w:spacing w:after="0"/>
        <w:ind w:left="0"/>
        <w:jc w:val="both"/>
      </w:pPr>
      <w:r>
        <w:rPr>
          <w:rFonts w:ascii="Times New Roman"/>
          <w:b w:val="false"/>
          <w:i w:val="false"/>
          <w:color w:val="000000"/>
          <w:sz w:val="28"/>
        </w:rPr>
        <w:t>
      54. Минимальная стоимость активов клиента, находящихся на счетах у брокера и (или) дилера, постоянно составляет не менее тридцати процентов от суммы всех операций открытия "репо", совершенных брокером и (или) дилером в торговой системе фондовой биржи "прямым" способом по поручению данного клиента, без учета ограничительного уровня маржи при наличии заключенных маржинальных сделок.</w:t>
      </w:r>
    </w:p>
    <w:bookmarkEnd w:id="183"/>
    <w:bookmarkStart w:name="z209" w:id="184"/>
    <w:p>
      <w:pPr>
        <w:spacing w:after="0"/>
        <w:ind w:left="0"/>
        <w:jc w:val="both"/>
      </w:pPr>
      <w:r>
        <w:rPr>
          <w:rFonts w:ascii="Times New Roman"/>
          <w:b w:val="false"/>
          <w:i w:val="false"/>
          <w:color w:val="000000"/>
          <w:sz w:val="28"/>
        </w:rPr>
        <w:t>
      В качестве активов клиента в настоящем пункте Правил признаются:</w:t>
      </w:r>
    </w:p>
    <w:bookmarkEnd w:id="184"/>
    <w:bookmarkStart w:name="z210" w:id="185"/>
    <w:p>
      <w:pPr>
        <w:spacing w:after="0"/>
        <w:ind w:left="0"/>
        <w:jc w:val="both"/>
      </w:pPr>
      <w:r>
        <w:rPr>
          <w:rFonts w:ascii="Times New Roman"/>
          <w:b w:val="false"/>
          <w:i w:val="false"/>
          <w:color w:val="000000"/>
          <w:sz w:val="28"/>
        </w:rPr>
        <w:t>
      деньги;</w:t>
      </w:r>
    </w:p>
    <w:bookmarkEnd w:id="185"/>
    <w:bookmarkStart w:name="z211" w:id="186"/>
    <w:p>
      <w:pPr>
        <w:spacing w:after="0"/>
        <w:ind w:left="0"/>
        <w:jc w:val="both"/>
      </w:pPr>
      <w:r>
        <w:rPr>
          <w:rFonts w:ascii="Times New Roman"/>
          <w:b w:val="false"/>
          <w:i w:val="false"/>
          <w:color w:val="000000"/>
          <w:sz w:val="28"/>
        </w:rPr>
        <w:t>
      вклады в банках второго уровня Республики Казахстан, филиалах банков-нерезидентов Республики Казахстан;</w:t>
      </w:r>
    </w:p>
    <w:bookmarkEnd w:id="186"/>
    <w:bookmarkStart w:name="z212" w:id="187"/>
    <w:p>
      <w:pPr>
        <w:spacing w:after="0"/>
        <w:ind w:left="0"/>
        <w:jc w:val="both"/>
      </w:pPr>
      <w:r>
        <w:rPr>
          <w:rFonts w:ascii="Times New Roman"/>
          <w:b w:val="false"/>
          <w:i w:val="false"/>
          <w:color w:val="000000"/>
          <w:sz w:val="28"/>
        </w:rPr>
        <w:t>
      государственные ценные бумаги Республики Казахстан;</w:t>
      </w:r>
    </w:p>
    <w:bookmarkEnd w:id="187"/>
    <w:bookmarkStart w:name="z213" w:id="188"/>
    <w:p>
      <w:pPr>
        <w:spacing w:after="0"/>
        <w:ind w:left="0"/>
        <w:jc w:val="both"/>
      </w:pPr>
      <w:r>
        <w:rPr>
          <w:rFonts w:ascii="Times New Roman"/>
          <w:b w:val="false"/>
          <w:i w:val="false"/>
          <w:color w:val="000000"/>
          <w:sz w:val="28"/>
        </w:rPr>
        <w:t>
      ценные бумаги, имеющие рейтинговую оценку не ниже "В-"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188"/>
    <w:bookmarkStart w:name="z214" w:id="189"/>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совершенные брокером и (или) дилером в торговой системе фондовой биржи "прямым" способом с применением услуг центрального контрагента.</w:t>
      </w:r>
    </w:p>
    <w:bookmarkEnd w:id="189"/>
    <w:bookmarkStart w:name="z215" w:id="190"/>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190"/>
    <w:bookmarkStart w:name="z216" w:id="191"/>
    <w:p>
      <w:pPr>
        <w:spacing w:after="0"/>
        <w:ind w:left="0"/>
        <w:jc w:val="both"/>
      </w:pPr>
      <w:r>
        <w:rPr>
          <w:rFonts w:ascii="Times New Roman"/>
          <w:b w:val="false"/>
          <w:i w:val="false"/>
          <w:color w:val="000000"/>
          <w:sz w:val="28"/>
        </w:rPr>
        <w:t>
      Действие части первой настоящего пункта не распространяется на сделки, заключаемые с использованием услуг центрального контрагента и (или) заключаемые по поручению, за счет и в интересах клиента, при соответствии значения показателя, характеризующего риск на данного клиента требованиям постановления № 214, а также на сделки с ценными бумагами, заключенные банками второго уровня, филиалами банков-нерезидентов Республики Казахстан.</w:t>
      </w:r>
    </w:p>
    <w:bookmarkEnd w:id="191"/>
    <w:bookmarkStart w:name="z217" w:id="192"/>
    <w:p>
      <w:pPr>
        <w:spacing w:after="0"/>
        <w:ind w:left="0"/>
        <w:jc w:val="both"/>
      </w:pPr>
      <w:r>
        <w:rPr>
          <w:rFonts w:ascii="Times New Roman"/>
          <w:b w:val="false"/>
          <w:i w:val="false"/>
          <w:color w:val="000000"/>
          <w:sz w:val="28"/>
        </w:rPr>
        <w:t>
      Допускается заключение сделки с ценными бумагами, расчет по которой осуществляется после даты заключения сделки, при отсутствии на момент заключения сделки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 если ценные бумаги или деньги, являющиеся объектом сделки, будут зачислены на счет брокера и (или) дилера или его клиента на основании ранее заключенной сделки до момента проведения расчетов.";</w:t>
      </w:r>
    </w:p>
    <w:bookmarkEnd w:id="192"/>
    <w:bookmarkStart w:name="z218" w:id="19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4-1</w:t>
      </w:r>
      <w:r>
        <w:rPr>
          <w:rFonts w:ascii="Times New Roman"/>
          <w:b w:val="false"/>
          <w:i w:val="false"/>
          <w:color w:val="000000"/>
          <w:sz w:val="28"/>
        </w:rPr>
        <w:t xml:space="preserve"> изложить в следующей редакции:</w:t>
      </w:r>
    </w:p>
    <w:bookmarkEnd w:id="193"/>
    <w:bookmarkStart w:name="z219" w:id="194"/>
    <w:p>
      <w:pPr>
        <w:spacing w:after="0"/>
        <w:ind w:left="0"/>
        <w:jc w:val="both"/>
      </w:pPr>
      <w:r>
        <w:rPr>
          <w:rFonts w:ascii="Times New Roman"/>
          <w:b w:val="false"/>
          <w:i w:val="false"/>
          <w:color w:val="000000"/>
          <w:sz w:val="28"/>
        </w:rPr>
        <w:t>
      "Глава 4-1. Совершение сделок с иностранной валютой брокером и (или) дилером, не являющимся банком, филиалом банка-нерезидента Республики Казахстан";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63-3</w:t>
      </w:r>
      <w:r>
        <w:rPr>
          <w:rFonts w:ascii="Times New Roman"/>
          <w:b w:val="false"/>
          <w:i w:val="false"/>
          <w:color w:val="000000"/>
          <w:sz w:val="28"/>
        </w:rPr>
        <w:t xml:space="preserve"> изложить в следующей редакции:</w:t>
      </w:r>
    </w:p>
    <w:bookmarkStart w:name="z221" w:id="195"/>
    <w:p>
      <w:pPr>
        <w:spacing w:after="0"/>
        <w:ind w:left="0"/>
        <w:jc w:val="both"/>
      </w:pPr>
      <w:r>
        <w:rPr>
          <w:rFonts w:ascii="Times New Roman"/>
          <w:b w:val="false"/>
          <w:i w:val="false"/>
          <w:color w:val="000000"/>
          <w:sz w:val="28"/>
        </w:rPr>
        <w:t>
      "63-3. Брокер и (или) дилер открывает раздельные банковские счета для учета и хранения безналичной иностранной валюты, принадлежащей ему и его клиентам, в банках и (или) филиалах банков-нерезидентов Республики Казахстан, и (или) центральном депозитарии ценных бумаг, и (или) иностранных расчетных организациях.</w:t>
      </w:r>
    </w:p>
    <w:bookmarkEnd w:id="195"/>
    <w:bookmarkStart w:name="z222" w:id="196"/>
    <w:p>
      <w:pPr>
        <w:spacing w:after="0"/>
        <w:ind w:left="0"/>
        <w:jc w:val="both"/>
      </w:pPr>
      <w:r>
        <w:rPr>
          <w:rFonts w:ascii="Times New Roman"/>
          <w:b w:val="false"/>
          <w:i w:val="false"/>
          <w:color w:val="000000"/>
          <w:sz w:val="28"/>
        </w:rPr>
        <w:t>
      Данное требование не распространяется в случае учета и хранения безналичной иностранной валюты, принадлежащей брокеру и (или) дилеру и его клиентам на фондовой бирже.";</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224" w:id="197"/>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bookmarkEnd w:id="197"/>
    <w:bookmarkStart w:name="z225" w:id="198"/>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самостоятельно открывает банковские счета, предназначенные для раздельного учета и хранения денег, принадлежащих его клиентам.</w:t>
      </w:r>
    </w:p>
    <w:bookmarkEnd w:id="198"/>
    <w:bookmarkStart w:name="z226" w:id="199"/>
    <w:p>
      <w:pPr>
        <w:spacing w:after="0"/>
        <w:ind w:left="0"/>
        <w:jc w:val="both"/>
      </w:pPr>
      <w:r>
        <w:rPr>
          <w:rFonts w:ascii="Times New Roman"/>
          <w:b w:val="false"/>
          <w:i w:val="false"/>
          <w:color w:val="000000"/>
          <w:sz w:val="28"/>
        </w:rPr>
        <w:t>
      65.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банках, филиалах банков-нерезидентов Республики Казахстан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 в течение 3 (трех) рабочих дней с момента поступления финансовых инструментов и денег.</w:t>
      </w:r>
    </w:p>
    <w:bookmarkEnd w:id="199"/>
    <w:bookmarkStart w:name="z227" w:id="200"/>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зачисляет поступающие от клиентов деньги на банковские счета, открытые данным брокером и (или) дилером указанным клиентам, в сроки установленные частью первой настоящего пункта.";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29" w:id="201"/>
    <w:p>
      <w:pPr>
        <w:spacing w:after="0"/>
        <w:ind w:left="0"/>
        <w:jc w:val="both"/>
      </w:pPr>
      <w:r>
        <w:rPr>
          <w:rFonts w:ascii="Times New Roman"/>
          <w:b w:val="false"/>
          <w:i w:val="false"/>
          <w:color w:val="000000"/>
          <w:sz w:val="28"/>
        </w:rPr>
        <w:t>
      "75. В качестве обеспечения обязательств клиента по маржинальной сделке принимаются:</w:t>
      </w:r>
    </w:p>
    <w:bookmarkEnd w:id="201"/>
    <w:bookmarkStart w:name="z230" w:id="202"/>
    <w:p>
      <w:pPr>
        <w:spacing w:after="0"/>
        <w:ind w:left="0"/>
        <w:jc w:val="both"/>
      </w:pPr>
      <w:r>
        <w:rPr>
          <w:rFonts w:ascii="Times New Roman"/>
          <w:b w:val="false"/>
          <w:i w:val="false"/>
          <w:color w:val="000000"/>
          <w:sz w:val="28"/>
        </w:rPr>
        <w:t>
      1) акции юридических лиц - резидентов Республики Казахстан, имеющих рейтинговую оценку не ниже "ВВ-"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 или рейтинговую оценку не ниже "kzA-" по национальной шкале Standard &amp; Poor’s (Стандард энд Пурс), или рейтинг аналогичного уровня по национальной шкале уровня агентств Moody’s Investors Service (Мудис Инвесторс Сервис) или Fitch (Фич), за вычетом резервов на возможные потери;</w:t>
      </w:r>
    </w:p>
    <w:bookmarkEnd w:id="202"/>
    <w:bookmarkStart w:name="z231" w:id="203"/>
    <w:p>
      <w:pPr>
        <w:spacing w:after="0"/>
        <w:ind w:left="0"/>
        <w:jc w:val="both"/>
      </w:pPr>
      <w:r>
        <w:rPr>
          <w:rFonts w:ascii="Times New Roman"/>
          <w:b w:val="false"/>
          <w:i w:val="false"/>
          <w:color w:val="000000"/>
          <w:sz w:val="28"/>
        </w:rPr>
        <w:t>
      2)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(или) акции юридических лиц, допущенные к публичным торгам на фондовой бирже, функционирующей на территории Международного финансового центра "Астана", или акции юридических лиц, находящиеся в представительском списке индекса фондовой биржи;</w:t>
      </w:r>
    </w:p>
    <w:bookmarkEnd w:id="203"/>
    <w:bookmarkStart w:name="z232" w:id="204"/>
    <w:p>
      <w:pPr>
        <w:spacing w:after="0"/>
        <w:ind w:left="0"/>
        <w:jc w:val="both"/>
      </w:pPr>
      <w:r>
        <w:rPr>
          <w:rFonts w:ascii="Times New Roman"/>
          <w:b w:val="false"/>
          <w:i w:val="false"/>
          <w:color w:val="000000"/>
          <w:sz w:val="28"/>
        </w:rPr>
        <w:t>
      3)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 (с учетом сумм основного долга и начисленного вознаграждения), за вычетом резервов на возможные потери;</w:t>
      </w:r>
    </w:p>
    <w:bookmarkEnd w:id="204"/>
    <w:bookmarkStart w:name="z233" w:id="205"/>
    <w:p>
      <w:pPr>
        <w:spacing w:after="0"/>
        <w:ind w:left="0"/>
        <w:jc w:val="both"/>
      </w:pPr>
      <w:r>
        <w:rPr>
          <w:rFonts w:ascii="Times New Roman"/>
          <w:b w:val="false"/>
          <w:i w:val="false"/>
          <w:color w:val="000000"/>
          <w:sz w:val="28"/>
        </w:rPr>
        <w:t>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 негосударственные долговые ценные бумаги юридических лиц – 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205"/>
    <w:bookmarkStart w:name="z234" w:id="206"/>
    <w:p>
      <w:pPr>
        <w:spacing w:after="0"/>
        <w:ind w:left="0"/>
        <w:jc w:val="both"/>
      </w:pPr>
      <w:r>
        <w:rPr>
          <w:rFonts w:ascii="Times New Roman"/>
          <w:b w:val="false"/>
          <w:i w:val="false"/>
          <w:color w:val="000000"/>
          <w:sz w:val="28"/>
        </w:rPr>
        <w:t>
      5) государственные ценные бумаги Республики Казахстан;</w:t>
      </w:r>
    </w:p>
    <w:bookmarkEnd w:id="206"/>
    <w:bookmarkStart w:name="z235" w:id="207"/>
    <w:p>
      <w:pPr>
        <w:spacing w:after="0"/>
        <w:ind w:left="0"/>
        <w:jc w:val="both"/>
      </w:pPr>
      <w:r>
        <w:rPr>
          <w:rFonts w:ascii="Times New Roman"/>
          <w:b w:val="false"/>
          <w:i w:val="false"/>
          <w:color w:val="000000"/>
          <w:sz w:val="28"/>
        </w:rPr>
        <w:t>
      6) государственные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207"/>
    <w:bookmarkStart w:name="z236" w:id="208"/>
    <w:p>
      <w:pPr>
        <w:spacing w:after="0"/>
        <w:ind w:left="0"/>
        <w:jc w:val="both"/>
      </w:pPr>
      <w:r>
        <w:rPr>
          <w:rFonts w:ascii="Times New Roman"/>
          <w:b w:val="false"/>
          <w:i w:val="false"/>
          <w:color w:val="000000"/>
          <w:sz w:val="28"/>
        </w:rPr>
        <w:t>
      7) деньги в национальной валюте и иностранная валюта стран, имеющих суверенный рейтинг не ниже "АА-" по международной шкале агентства Standard &amp; Poor’s (Стандард энд Пурс) или рейтинг аналогичного уровня агентств Moody’s Investors Service (Мудис Инвесторс Сервис) или Fitch (Фич);</w:t>
      </w:r>
    </w:p>
    <w:bookmarkEnd w:id="208"/>
    <w:bookmarkStart w:name="z237" w:id="209"/>
    <w:p>
      <w:pPr>
        <w:spacing w:after="0"/>
        <w:ind w:left="0"/>
        <w:jc w:val="both"/>
      </w:pPr>
      <w:r>
        <w:rPr>
          <w:rFonts w:ascii="Times New Roman"/>
          <w:b w:val="false"/>
          <w:i w:val="false"/>
          <w:color w:val="000000"/>
          <w:sz w:val="28"/>
        </w:rPr>
        <w:t xml:space="preserve">
      8) негосударственные долговые ценные бумаги юридических лиц - нерезидентов Республики Казахстан, выпущенные в соответствии с законодательством Республики Казахстан о рынке ценных бумаг и других государств, ценные бумаги которых входят в состав расчетных показателей (индексов), определенных </w:t>
      </w:r>
      <w:r>
        <w:rPr>
          <w:rFonts w:ascii="Times New Roman"/>
          <w:b w:val="false"/>
          <w:i w:val="false"/>
          <w:color w:val="000000"/>
          <w:sz w:val="28"/>
        </w:rPr>
        <w:t>пунктом 75-1</w:t>
      </w:r>
      <w:r>
        <w:rPr>
          <w:rFonts w:ascii="Times New Roman"/>
          <w:b w:val="false"/>
          <w:i w:val="false"/>
          <w:color w:val="000000"/>
          <w:sz w:val="28"/>
        </w:rPr>
        <w:t xml:space="preserve"> Правил,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 (с учетом сумм основного долга и начисленного вознаграждения), за вычетом резервов на возможные потери;</w:t>
      </w:r>
    </w:p>
    <w:bookmarkEnd w:id="209"/>
    <w:bookmarkStart w:name="z238" w:id="210"/>
    <w:p>
      <w:pPr>
        <w:spacing w:after="0"/>
        <w:ind w:left="0"/>
        <w:jc w:val="both"/>
      </w:pPr>
      <w:r>
        <w:rPr>
          <w:rFonts w:ascii="Times New Roman"/>
          <w:b w:val="false"/>
          <w:i w:val="false"/>
          <w:color w:val="000000"/>
          <w:sz w:val="28"/>
        </w:rPr>
        <w:t xml:space="preserve">
      9) акции, входящие в состав расчетных показателей (индексов), определенных </w:t>
      </w:r>
      <w:r>
        <w:rPr>
          <w:rFonts w:ascii="Times New Roman"/>
          <w:b w:val="false"/>
          <w:i w:val="false"/>
          <w:color w:val="000000"/>
          <w:sz w:val="28"/>
        </w:rPr>
        <w:t>пунктом 75-1</w:t>
      </w:r>
      <w:r>
        <w:rPr>
          <w:rFonts w:ascii="Times New Roman"/>
          <w:b w:val="false"/>
          <w:i w:val="false"/>
          <w:color w:val="000000"/>
          <w:sz w:val="28"/>
        </w:rPr>
        <w:t xml:space="preserve"> Правил, имеющие рейтинговую оценку не ниже "В-" по международной шкале агентства Standard &amp; Poor’s (Стандард энд Пурс) или рейтинга аналогичного уровня агентств Moody’s Investors Service (Мудис Инвесторс Сервис) или Fitch (Фич),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или Fitch (Фич).";</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40" w:id="211"/>
    <w:p>
      <w:pPr>
        <w:spacing w:after="0"/>
        <w:ind w:left="0"/>
        <w:jc w:val="both"/>
      </w:pPr>
      <w:r>
        <w:rPr>
          <w:rFonts w:ascii="Times New Roman"/>
          <w:b w:val="false"/>
          <w:i w:val="false"/>
          <w:color w:val="000000"/>
          <w:sz w:val="28"/>
        </w:rPr>
        <w:t>
      "76. В целях управления возникающими рисками брокер и (или) дилер рассчитывает уровень маржи в отношении всех маржинальных сделок клиента. Уровень маржи рассчитывается по следующей формуле:</w:t>
      </w:r>
    </w:p>
    <w:bookmarkEnd w:id="211"/>
    <w:bookmarkStart w:name="z241"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3124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24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13"/>
    <w:p>
      <w:pPr>
        <w:spacing w:after="0"/>
        <w:ind w:left="0"/>
        <w:jc w:val="both"/>
      </w:pPr>
      <w:r>
        <w:rPr>
          <w:rFonts w:ascii="Times New Roman"/>
          <w:b w:val="false"/>
          <w:i w:val="false"/>
          <w:color w:val="000000"/>
          <w:sz w:val="28"/>
        </w:rPr>
        <w:t>
      где:</w:t>
      </w:r>
    </w:p>
    <w:bookmarkEnd w:id="213"/>
    <w:bookmarkStart w:name="z243" w:id="214"/>
    <w:p>
      <w:pPr>
        <w:spacing w:after="0"/>
        <w:ind w:left="0"/>
        <w:jc w:val="both"/>
      </w:pPr>
      <w:r>
        <w:rPr>
          <w:rFonts w:ascii="Times New Roman"/>
          <w:b w:val="false"/>
          <w:i w:val="false"/>
          <w:color w:val="000000"/>
          <w:sz w:val="28"/>
        </w:rPr>
        <w:t>
      УМ – уровень маржи, рассчитываемый при предоставлении брокером и (или) дилером денег, иностранной валюты или ценных бумаг клиенту для совершения маржинальной сделки;</w:t>
      </w:r>
    </w:p>
    <w:bookmarkEnd w:id="214"/>
    <w:bookmarkStart w:name="z244" w:id="215"/>
    <w:p>
      <w:pPr>
        <w:spacing w:after="0"/>
        <w:ind w:left="0"/>
        <w:jc w:val="both"/>
      </w:pPr>
      <w:r>
        <w:rPr>
          <w:rFonts w:ascii="Times New Roman"/>
          <w:b w:val="false"/>
          <w:i w:val="false"/>
          <w:color w:val="000000"/>
          <w:sz w:val="28"/>
        </w:rPr>
        <w:t>
      САк – сумма денег, иностранной валюты и (или) рыночной стоимости ценных бумаг, в том числе поступающих в результате совершения маржинальной сделки, предоставляемых клиентом в качестве обеспечения для совершения маржинальной сделки;</w:t>
      </w:r>
    </w:p>
    <w:bookmarkEnd w:id="215"/>
    <w:bookmarkStart w:name="z245" w:id="216"/>
    <w:p>
      <w:pPr>
        <w:spacing w:after="0"/>
        <w:ind w:left="0"/>
        <w:jc w:val="both"/>
      </w:pPr>
      <w:r>
        <w:rPr>
          <w:rFonts w:ascii="Times New Roman"/>
          <w:b w:val="false"/>
          <w:i w:val="false"/>
          <w:color w:val="000000"/>
          <w:sz w:val="28"/>
        </w:rPr>
        <w:t>
      СЦБк – сумма денег, иностранной валюты и (или) рыночной стоимости ценных бумаг, предоставленных брокером и (или) дилером клиенту для совершения маржинальной сделки.";</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247" w:id="217"/>
    <w:p>
      <w:pPr>
        <w:spacing w:after="0"/>
        <w:ind w:left="0"/>
        <w:jc w:val="both"/>
      </w:pPr>
      <w:r>
        <w:rPr>
          <w:rFonts w:ascii="Times New Roman"/>
          <w:b w:val="false"/>
          <w:i w:val="false"/>
          <w:color w:val="000000"/>
          <w:sz w:val="28"/>
        </w:rPr>
        <w:t>
      "94. Брокер и (или) дилер не реже одного раза в месяц производит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кастодианов, банков и филиалов банков-нерезидентов Республики Казахстан о количестве финансовых инструментов и денег на счетах, открытых данному брокеру и (или) дилеру.</w:t>
      </w:r>
    </w:p>
    <w:bookmarkEnd w:id="217"/>
    <w:bookmarkStart w:name="z248" w:id="218"/>
    <w:p>
      <w:pPr>
        <w:spacing w:after="0"/>
        <w:ind w:left="0"/>
        <w:jc w:val="both"/>
      </w:pPr>
      <w:r>
        <w:rPr>
          <w:rFonts w:ascii="Times New Roman"/>
          <w:b w:val="false"/>
          <w:i w:val="false"/>
          <w:color w:val="000000"/>
          <w:sz w:val="28"/>
        </w:rPr>
        <w:t>
      В качестве акта сверки также признается выписка, представленная иностранной расчетной организацией при условии отсутствия расхождений по количеству финансовых инструментов и денег. Если в течение десяти рабочих дней со дня ее получения клиент (контрагент) брокера и (или) дилера не заявил об ошибке в предоставленных данных, выписка считается верной и признается в качестве акта сверки.</w:t>
      </w:r>
    </w:p>
    <w:bookmarkEnd w:id="218"/>
    <w:bookmarkStart w:name="z249" w:id="219"/>
    <w:p>
      <w:pPr>
        <w:spacing w:after="0"/>
        <w:ind w:left="0"/>
        <w:jc w:val="both"/>
      </w:pP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p>
    <w:bookmarkEnd w:id="219"/>
    <w:bookmarkStart w:name="z250" w:id="22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 следующее дополнение:</w:t>
      </w:r>
    </w:p>
    <w:bookmarkEnd w:id="220"/>
    <w:bookmarkStart w:name="z251" w:id="221"/>
    <w:p>
      <w:pPr>
        <w:spacing w:after="0"/>
        <w:ind w:left="0"/>
        <w:jc w:val="both"/>
      </w:pPr>
      <w:r>
        <w:rPr>
          <w:rFonts w:ascii="Times New Roman"/>
          <w:b w:val="false"/>
          <w:i w:val="false"/>
          <w:color w:val="000000"/>
          <w:sz w:val="28"/>
        </w:rPr>
        <w:t>
      Требования к эмитентам и их ценным бумагам, допускаемым (допущенным) к обращению на фондовой бирже, а также к отдельным категориям списка фондовой биржи, утвержденные указанным постановлением:</w:t>
      </w:r>
    </w:p>
    <w:bookmarkEnd w:id="221"/>
    <w:bookmarkStart w:name="z252" w:id="222"/>
    <w:p>
      <w:pPr>
        <w:spacing w:after="0"/>
        <w:ind w:left="0"/>
        <w:jc w:val="both"/>
      </w:pPr>
      <w:r>
        <w:rPr>
          <w:rFonts w:ascii="Times New Roman"/>
          <w:b w:val="false"/>
          <w:i w:val="false"/>
          <w:color w:val="000000"/>
          <w:sz w:val="28"/>
        </w:rPr>
        <w:t>
      дополнить пунктом 36-1 следующего содержания:</w:t>
      </w:r>
    </w:p>
    <w:bookmarkEnd w:id="222"/>
    <w:bookmarkStart w:name="z253" w:id="223"/>
    <w:p>
      <w:pPr>
        <w:spacing w:after="0"/>
        <w:ind w:left="0"/>
        <w:jc w:val="both"/>
      </w:pPr>
      <w:r>
        <w:rPr>
          <w:rFonts w:ascii="Times New Roman"/>
          <w:b w:val="false"/>
          <w:i w:val="false"/>
          <w:color w:val="000000"/>
          <w:sz w:val="28"/>
        </w:rPr>
        <w:t>
      "36-1. Для включения паев открытых паевых инвестиционных фондов и паевых инвестиционных фондов рискового инвестирования в сектор "ценные бумаги инвестиционных фондов" площадки "Смешанная" и их нахождения в нем, данные ценные бумаги и их эмитент соответствуют следующим требованиям:</w:t>
      </w:r>
    </w:p>
    <w:bookmarkEnd w:id="223"/>
    <w:bookmarkStart w:name="z254" w:id="224"/>
    <w:p>
      <w:pPr>
        <w:spacing w:after="0"/>
        <w:ind w:left="0"/>
        <w:jc w:val="both"/>
      </w:pPr>
      <w:r>
        <w:rPr>
          <w:rFonts w:ascii="Times New Roman"/>
          <w:b w:val="false"/>
          <w:i w:val="false"/>
          <w:color w:val="000000"/>
          <w:sz w:val="28"/>
        </w:rPr>
        <w:t>
      1) количество держателей паев паевого инвестиционного фонда составляет не менее пяти на дату подачи заявления на включение в официальный список фондовой биржи;</w:t>
      </w:r>
    </w:p>
    <w:bookmarkEnd w:id="224"/>
    <w:bookmarkStart w:name="z255" w:id="225"/>
    <w:p>
      <w:pPr>
        <w:spacing w:after="0"/>
        <w:ind w:left="0"/>
        <w:jc w:val="both"/>
      </w:pPr>
      <w:r>
        <w:rPr>
          <w:rFonts w:ascii="Times New Roman"/>
          <w:b w:val="false"/>
          <w:i w:val="false"/>
          <w:color w:val="000000"/>
          <w:sz w:val="28"/>
        </w:rPr>
        <w:t>
      2) наличие маркет-мейкера у данных ценных бумаг в течение всего срока их нахождения в официальном списке фондовой биржи;</w:t>
      </w:r>
    </w:p>
    <w:bookmarkEnd w:id="225"/>
    <w:bookmarkStart w:name="z256" w:id="226"/>
    <w:p>
      <w:pPr>
        <w:spacing w:after="0"/>
        <w:ind w:left="0"/>
        <w:jc w:val="both"/>
      </w:pPr>
      <w:r>
        <w:rPr>
          <w:rFonts w:ascii="Times New Roman"/>
          <w:b w:val="false"/>
          <w:i w:val="false"/>
          <w:color w:val="000000"/>
          <w:sz w:val="28"/>
        </w:rPr>
        <w:t>
      3) требованиям, предъявляемым к эмитентам, чьи паи открытых паевых инвестиционных фондов и паевых инвестиционных фондов рискового инвестирования предполагаются к включению или включены в данный сектор, а также к таким паям, которые устанавливаются внутренними документами фондовой биржи.</w:t>
      </w:r>
    </w:p>
    <w:bookmarkEnd w:id="226"/>
    <w:bookmarkStart w:name="z257" w:id="227"/>
    <w:p>
      <w:pPr>
        <w:spacing w:after="0"/>
        <w:ind w:left="0"/>
        <w:jc w:val="both"/>
      </w:pPr>
      <w:r>
        <w:rPr>
          <w:rFonts w:ascii="Times New Roman"/>
          <w:b w:val="false"/>
          <w:i w:val="false"/>
          <w:color w:val="000000"/>
          <w:sz w:val="28"/>
        </w:rPr>
        <w:t>
      Для включения акций акционерного инвестиционного фонда рискового инвестирования в сектор "ценные бумаги инвестиционных фондов" площадки "Смешанная" и их нахождения в нем, данные ценные бумаги и их эмитент соответствуют следующим требованиям:</w:t>
      </w:r>
    </w:p>
    <w:bookmarkEnd w:id="227"/>
    <w:bookmarkStart w:name="z258" w:id="228"/>
    <w:p>
      <w:pPr>
        <w:spacing w:after="0"/>
        <w:ind w:left="0"/>
        <w:jc w:val="both"/>
      </w:pPr>
      <w:r>
        <w:rPr>
          <w:rFonts w:ascii="Times New Roman"/>
          <w:b w:val="false"/>
          <w:i w:val="false"/>
          <w:color w:val="000000"/>
          <w:sz w:val="28"/>
        </w:rPr>
        <w:t>
      1) в качестве инициатора допуска выступает член Биржи по категории "фондовая";</w:t>
      </w:r>
    </w:p>
    <w:bookmarkEnd w:id="228"/>
    <w:bookmarkStart w:name="z259" w:id="229"/>
    <w:p>
      <w:pPr>
        <w:spacing w:after="0"/>
        <w:ind w:left="0"/>
        <w:jc w:val="both"/>
      </w:pPr>
      <w:r>
        <w:rPr>
          <w:rFonts w:ascii="Times New Roman"/>
          <w:b w:val="false"/>
          <w:i w:val="false"/>
          <w:color w:val="000000"/>
          <w:sz w:val="28"/>
        </w:rPr>
        <w:t>
      2) количество акционеров инвестиционного фонда составляет не менее пяти на дату подачи заявления на включение в официальный список фондовой биржи;</w:t>
      </w:r>
    </w:p>
    <w:bookmarkEnd w:id="229"/>
    <w:bookmarkStart w:name="z260" w:id="230"/>
    <w:p>
      <w:pPr>
        <w:spacing w:after="0"/>
        <w:ind w:left="0"/>
        <w:jc w:val="both"/>
      </w:pPr>
      <w:r>
        <w:rPr>
          <w:rFonts w:ascii="Times New Roman"/>
          <w:b w:val="false"/>
          <w:i w:val="false"/>
          <w:color w:val="000000"/>
          <w:sz w:val="28"/>
        </w:rPr>
        <w:t>
      3) наличие маркет-мейкера у данных ценных бумаг в течение всего срока их нахождения в официальном списке фондовой биржи;</w:t>
      </w:r>
    </w:p>
    <w:bookmarkEnd w:id="230"/>
    <w:bookmarkStart w:name="z261" w:id="231"/>
    <w:p>
      <w:pPr>
        <w:spacing w:after="0"/>
        <w:ind w:left="0"/>
        <w:jc w:val="both"/>
      </w:pPr>
      <w:r>
        <w:rPr>
          <w:rFonts w:ascii="Times New Roman"/>
          <w:b w:val="false"/>
          <w:i w:val="false"/>
          <w:color w:val="000000"/>
          <w:sz w:val="28"/>
        </w:rPr>
        <w:t>
      4) требованиям, предъявляемым к эмитентам, чьи акции акционерного инвестиционного фонда рискового инвестирования предполагаются к включению или включены в данный сектор, а также к таким акциям, которые устанавливаются внутренними документами фондовой биржи.</w:t>
      </w:r>
    </w:p>
    <w:bookmarkEnd w:id="231"/>
    <w:bookmarkStart w:name="z262" w:id="232"/>
    <w:p>
      <w:pPr>
        <w:spacing w:after="0"/>
        <w:ind w:left="0"/>
        <w:jc w:val="both"/>
      </w:pPr>
      <w:r>
        <w:rPr>
          <w:rFonts w:ascii="Times New Roman"/>
          <w:b w:val="false"/>
          <w:i w:val="false"/>
          <w:color w:val="000000"/>
          <w:sz w:val="28"/>
        </w:rPr>
        <w:t>
      Раскрытие информации об управляющей компании открытого паевого инвестиционного фонда, паевого инвестиционного фонда рискового инвестирования и акционерного инвестиционного фонда рискового инвестирования во время нахождения ценных бумаг в официальном списке фондовой биржи осуществляется в соответствии с внутренними документами фондовой биржи.</w:t>
      </w:r>
    </w:p>
    <w:bookmarkEnd w:id="232"/>
    <w:bookmarkStart w:name="z263" w:id="233"/>
    <w:p>
      <w:pPr>
        <w:spacing w:after="0"/>
        <w:ind w:left="0"/>
        <w:jc w:val="both"/>
      </w:pPr>
      <w:r>
        <w:rPr>
          <w:rFonts w:ascii="Times New Roman"/>
          <w:b w:val="false"/>
          <w:i w:val="false"/>
          <w:color w:val="000000"/>
          <w:sz w:val="28"/>
        </w:rPr>
        <w:t xml:space="preserve">
      Раскрытие сведений об инвестиционном фонде рискового инвестирования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инвестиционных и венчурных фондах" и внутренними документами фондовой биржи.".</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