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ea22" w14:textId="7d8e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и от 31 марта 2015 года № 376 "Об утверждении методики оценки соответствия нормам годности аэродромов (вертодромов) к эксплуатации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января 2021 года № 11. Зарегистрирован в Министерстве юстиции Республики Казахстан 20 января 2021 года № 22085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(зарегистрирован в Государственном реестре нормативных правовых актов Республики Казахстан за № 12303, опубликован 31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годности к эксплуатации аэродромов (вертодромов) гражданской авиации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Классификация аэродромов и взлетно-посадочных полос с искусственным покрытием";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Геометрические размеры элементов аэродрома";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Прочность искусственных покрытий аэродрома и несущая способность грунтовой взлетно-посадочной полосы";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Состояние искусственных покрытий и грунтовых поверхностей аэродрома";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Выявление препятствий";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Ограничение препятствий";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Учет и устранение препятствий";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Общие требования";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"88. На аэродромные огни и светомаяки необходимо иметь сертификат типа, выданный межгосударственным авиационным комитетом (МАК) или сертификат соответствия требованиям Международной организации гражданской авиации (ICAO), выданный аккредитованным органом по подтверждению соответствия, или признанный в соответствии с требованиями Закона Республики Казахстан от 5 июля 2008 года "Об аккредитации в области оценки соответствия". Необходимо обеспечить, чтобы электрическое оборудование и аппаратура дистанционного управления светосигнальным оборудованием отвечали требованиям НГЭА ГА РК и имели сертификаты соответствия.";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Маркировка аэродромов, препятствий и объектов";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Аэродромные огни";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Светосигнальное оборудование";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Система визуальной индикации глиссады";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Огни на РД и огни линии "стоп"";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Характеристики светосигнального оборудования";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Аэродромные знаки";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Маркеры";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59,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62,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27. Электроснабжение аэродромов и электрооборудование";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28. Электроснабжение объектов аэродрома";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29. Автономные источники питания";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30. Классификация вертодромов";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31. Характеристики, размеры вертодрома";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32. Вертодромы на уровне поверхности";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33. Вертодромы, приподнятые над поверхностью";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34. Вертопалубы";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35. Вертодромы на палубах судов";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36. Поверхности и секторы ограничения препятствий";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37. Требования к ограничению препятствий";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38. Специально оборудованные вертодромы, расположенные в носовой или кормовой части";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39. Расположение вертодрома в средней части судна";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40. Не оборудованные вертодромы, расположенные в боковой части судна";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41. Вертодромная опознавательная маркировка";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42. Маркировка названия вертодрома";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43. Маркировка максимально допустимой массы";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44. Маркировка максимально допустимого значения D";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45. Маркировка или маркер зоны конечного этапа захода на посадку и взлета";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46. Маркировка обозначения зоны конечного этапа захода на посадку и взлета";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47. Маркировка прицельной точки посадки";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48. Маркировка зоны приземления и отрыва";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49. Маркировка точки приземления/заданного местоположения";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50. Маркировка сектора вертопалубы, свободного от препятствий";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51. Маркировка поверхности вертопалубы";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52. Маркировка запрещенного для посадки сектора вертопалубы";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53. Маркировка РД";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54. Маркеры РД для руления по воздуху";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55. Маркеры маршрутов руления по воздуху";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56. Маркировка зоны обработки грузов с использованием лебедки";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57. Общие положения";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58. Вертодромный маяк";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59. Система огней приближения";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60. Система визуального наведения в створ посадочной площадки";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61. Указатель глиссады визуального захода на посадку";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62. Поверхность защиты препятствий";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63. Огни зоны конечного этапа захода на посадку и взлета";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64. Огни прицельной точки посадки";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65. Система огней зоны приземления и отрыва";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66. Система предупреждения (Огни состояния)";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67. Прожекторное освещение зоны обработки грузов с использованием лебедки";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68. Огни РД";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69. Визуальные средства для обозначения препятствий";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70. Прожекторное освещение препятствий";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71. Светоограждение препятствий";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72. Ветроуказатели";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73. Оснащение вертодромов (вертопалуб) радиотехническим оборудованием";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74. Приводная радиостанция (ПРС)";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75. Средства ОВЧ воздушной электросвязи";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76. КВ – электросвязь";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77. Средства внутренней связи";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78. Средства звукозаписи";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79. Информационное обеспечение полетов";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80. Метеорологическое оборудование вертодромов (вертопалуб)";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81. Требования к составу метеооборудования";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82. Технические требования к метеооборудованию";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83. Электроснабжение и электрооборудование вертодромов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(вертопалуб)";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84. Аварийно-спасательное оборудование вертодромов";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85. Противопожарное обеспечение вертодромов, расположенных на уровне поверхности и вертодромов приподнятых над поверхностью";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86. Противопожарное обеспечение вертодромов (вертопалуб)";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87. Применение и техническое обслуживание пенного оборудования вертодрома (вертопалубы)";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88. Дополнительные средства противопожарного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вертодромов (вертопалуб)";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89. Управление запасами средств пожаротушения на вертодромах (вертопалубах);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90. Вспомогательное оборудование для эксплуатации вертолетов";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91. Уровень подготовки и состав персонала.";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92. Индивидуальное защитное оборудование.".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376 "Об утверждении методики оценки соответствия нормам годности аэродромов (вертодромов) к эксплуатации гражданских воздушных судов" (зарегистрирован в Государственном реестре нормативных правовых актов Республики Казахстан за № 12408, опубликован 15 января 2016 года в информационно-правовой системе "Әділет") следующие изменения: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 нормам годности аэродромов (вертодромов) к эксплуатации гражданских воздушных судов, утвержденной указанным приказом: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Данные аэродрома и физические характеристики аэродромов";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 аэродроме устанавливаются: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каждого направления взлета: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дистанция разбега (далее - РДР);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дистанция взлета (далее - РДВ);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дистанция прерванного взлета (далее - РДПВ);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каждого направления посадки: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посадочная дистанция (далее - РПД).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данной взлетно-посадочной полосе (далее - ВПП) допускается взлет от промежуточных (не примыкающих к концам ВПП) рулежных дорожек (далее - РД), то РДР, РДВ и РДПВ определяются от каждой из таких РД. При этом за начало дистанции принимается место пересечения осевой линии РД с осевой линией ИВПП.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располагаемых дистанций ВПП аэродрома требованиям НГЭА ГА РК вносятся в таблицу соответствия согласно приложению 3 к настоящей МОС.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соответствия заполняется в следующем порядке: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1 - указывается пункт НГЭА ГА РК;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2 - указываются значения дистанций. При этом, указываются взлетные дистанции от всех РД, от которых разрешен взлет;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3 - указываются номера подтверждающих документов: Руководство по аэродрому;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4 - указывается о соответствии располагаемых дистанций требованиям пункта НГЭА ГА РК;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5 - указываются сведения об особенностях использования ВПП для полетов (при одностороннего использования ВПП - взлет только с магнитного курса (далее - МК) МК=..., посадка только с МК=..., наличие и длинны концевой полосой торможения (далее - КПТ) и/или полосы, свободной от препятствии (далее - СЗ), смещенного порога).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таблицы указываются название и дата подтверждающих документов. При наличии на аэродроме двух и более ИВПП таблица настоящей МОС заполняется для каждой ИВПП.".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Оценка соответствия визуальных средств";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Оценка соответствия радиотехнического оборудования";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Оценка соответствия метеорологического оборудования";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Оценка соответствия электроснабжения и электрооборудования";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Оценка соответствия данных вертодромов, типов и физических характеристик вертодромов";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Вертодромы, приподнятые над поверхностью";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Вертопалубы";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Вертодромы на палубах судов";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Оценка соответствия ограничения и удаления препятствий";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Оценка соответствия учета и устранение препятствий";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Оценка соответствия визуальных средств";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Оценка соответствия радиотехнического оборудования";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Оценка соответствия метеорологического оборудования";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Оценка соответствия электроснабжения и электрооборудования";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Оценка соответствия аварийно-спасательного оборудования".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2020 года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2020 года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2020 года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2020 года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2020 года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