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0489f" w14:textId="e604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Министра энергетики Республики Казахстан от 26 августа 2019 года № 290 и Министра национальной экономики Республики Казахстан от 27 августа 2019 года № 78 "Об утверждении критериев оценки степени риска и проверочных листов в области электроэнергетики"</w:t>
      </w:r>
    </w:p>
    <w:p>
      <w:pPr>
        <w:spacing w:after="0"/>
        <w:ind w:left="0"/>
        <w:jc w:val="both"/>
      </w:pPr>
      <w:r>
        <w:rPr>
          <w:rFonts w:ascii="Times New Roman"/>
          <w:b w:val="false"/>
          <w:i w:val="false"/>
          <w:color w:val="000000"/>
          <w:sz w:val="28"/>
        </w:rPr>
        <w:t>Совместный приказ Министра энергетики Республики Казахстан от 8 января 2021 года № 4 и Министра национальной экономики Республики Казахстан от 12 января 2021 года № 7. Зарегистрирован в Министерстве юстиции Республики Казахстан 14 января 2021 года № 22075</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энергетики Республики Казахстан от 26 августа 2019 года № 290 и Министра национальной экономики Республики Казахстан от 27 августа 2019 года № 78 "Об утверждении критериев оценки степени риска и проверочных листов в области электроэнергетики" (зарегистрирован в Реестре государственной регистрации нормативных правовых актов за № 19323, опубликован 5 сентября 2019 года в Эталонном контрольном банке нормативных правовых актов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Субъективных критериях оценки</w:t>
      </w:r>
      <w:r>
        <w:rPr>
          <w:rFonts w:ascii="Times New Roman"/>
          <w:b w:val="false"/>
          <w:i w:val="false"/>
          <w:color w:val="000000"/>
          <w:sz w:val="28"/>
        </w:rPr>
        <w:t xml:space="preserve"> степени риска в отношении энергопроизводящих организаций:</w:t>
      </w:r>
    </w:p>
    <w:bookmarkEnd w:id="2"/>
    <w:bookmarkStart w:name="z7" w:id="3"/>
    <w:p>
      <w:pPr>
        <w:spacing w:after="0"/>
        <w:ind w:left="0"/>
        <w:jc w:val="both"/>
      </w:pPr>
      <w:r>
        <w:rPr>
          <w:rFonts w:ascii="Times New Roman"/>
          <w:b w:val="false"/>
          <w:i w:val="false"/>
          <w:color w:val="000000"/>
          <w:sz w:val="28"/>
        </w:rPr>
        <w:t>
      раздел Результаты мониторинга отчетности и сведений, представляемых субъектом (объектом) контроля дополнить строками, порядковые номера 11, 12, 13, 14, 15, 16, 17, 18 и 19, следующего содержания:</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0825"/>
        <w:gridCol w:w="329"/>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сроков проведения расследования технологических нарушений (начинается не позднее трех суток с момента возникновения технологического нарушения и завершается в течение десяти рабочих дней с момента создания комиссии).</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сроков продления расследования в случаях невозможности завершения расследования технологического нарушения в течение десяти рабочих дней с момента создания комиссии (сроки расследования продлеваются на срок не более 30 календарных дней).</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Неоформление актом расследования технологического нарушения, результатов расследования аварий, отказов I степени, а также отказов II степени, связанных с:</w:t>
            </w:r>
            <w:r>
              <w:br/>
            </w:r>
            <w:r>
              <w:rPr>
                <w:rFonts w:ascii="Times New Roman"/>
                <w:b w:val="false"/>
                <w:i w:val="false"/>
                <w:color w:val="000000"/>
                <w:sz w:val="20"/>
              </w:rPr>
              <w:t>
</w:t>
            </w:r>
            <w:r>
              <w:rPr>
                <w:rFonts w:ascii="Times New Roman"/>
                <w:b w:val="false"/>
                <w:i w:val="false"/>
                <w:color w:val="000000"/>
                <w:sz w:val="20"/>
              </w:rPr>
              <w:t>1) повреждением из-за заводских дефектов оборудования, не выработавшего срок службы;</w:t>
            </w:r>
            <w:r>
              <w:br/>
            </w:r>
            <w:r>
              <w:rPr>
                <w:rFonts w:ascii="Times New Roman"/>
                <w:b w:val="false"/>
                <w:i w:val="false"/>
                <w:color w:val="000000"/>
                <w:sz w:val="20"/>
              </w:rPr>
              <w:t>
</w:t>
            </w:r>
            <w:r>
              <w:rPr>
                <w:rFonts w:ascii="Times New Roman"/>
                <w:b w:val="false"/>
                <w:i w:val="false"/>
                <w:color w:val="000000"/>
                <w:sz w:val="20"/>
              </w:rPr>
              <w:t>2) полным сбросом нагрузки электростанцией;</w:t>
            </w:r>
            <w:r>
              <w:br/>
            </w:r>
            <w:r>
              <w:rPr>
                <w:rFonts w:ascii="Times New Roman"/>
                <w:b w:val="false"/>
                <w:i w:val="false"/>
                <w:color w:val="000000"/>
                <w:sz w:val="20"/>
              </w:rPr>
              <w:t>
</w:t>
            </w:r>
            <w:r>
              <w:rPr>
                <w:rFonts w:ascii="Times New Roman"/>
                <w:b w:val="false"/>
                <w:i w:val="false"/>
                <w:color w:val="000000"/>
                <w:sz w:val="20"/>
              </w:rPr>
              <w:t>3) повреждением электрических сетей 110-1150 кВ, а также основного оборудования подстанций 110 кВ и выше;</w:t>
            </w:r>
            <w:r>
              <w:br/>
            </w:r>
            <w:r>
              <w:rPr>
                <w:rFonts w:ascii="Times New Roman"/>
                <w:b w:val="false"/>
                <w:i w:val="false"/>
                <w:color w:val="000000"/>
                <w:sz w:val="20"/>
              </w:rPr>
              <w:t>
</w:t>
            </w:r>
            <w:r>
              <w:rPr>
                <w:rFonts w:ascii="Times New Roman"/>
                <w:b w:val="false"/>
                <w:i w:val="false"/>
                <w:color w:val="000000"/>
                <w:sz w:val="20"/>
              </w:rPr>
              <w:t>4) повреждением тепловых сетей в отопительный сезон;</w:t>
            </w:r>
            <w:r>
              <w:br/>
            </w:r>
            <w:r>
              <w:rPr>
                <w:rFonts w:ascii="Times New Roman"/>
                <w:b w:val="false"/>
                <w:i w:val="false"/>
                <w:color w:val="000000"/>
                <w:sz w:val="20"/>
              </w:rPr>
              <w:t>
5) ошибочными действиями персонала.</w:t>
            </w:r>
          </w:p>
          <w:bookmarkEnd w:id="5"/>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в Комитет атомного и энергетического надзора и контроля Министерства энергетики Республики Казахстан в срок до 1 декабря, ежегодного списка руководителей, подлежащих квалификационной проверке знаний на следующий календарный год.</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сроков представления документов для получения паспорта готовности организации.</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согласованного плана мероприятий по устранению недостатков с указанием конкретных сроков, в случае неготовности организаций к работе в осенне-зимний период.</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о выполнении выданных замечаний организацией, получившей паспорт готовности с замечаниями не позднее трех рабочих дней со дня истечения срока выполнения замечания.</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перспективных и годовых графиков ремонта основного оборудования, зданий и сооружений.</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энергопроизводящей организацией с установленной мощностью 100 Гигакалорий/час и выше ежегодно, до 1 июня соответствующего года, расчета среднесуточного расхода топлива и информации о расстоянии от энергоисточника до места отгрузки поставляемого топлива, в уполномоченный орган в области электроэнергетики для согласования.</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6"/>
    <w:p>
      <w:pPr>
        <w:spacing w:after="0"/>
        <w:ind w:left="0"/>
        <w:jc w:val="both"/>
      </w:pPr>
      <w:r>
        <w:rPr>
          <w:rFonts w:ascii="Times New Roman"/>
          <w:b w:val="false"/>
          <w:i w:val="false"/>
          <w:color w:val="000000"/>
          <w:sz w:val="28"/>
        </w:rPr>
        <w:t>
      в разделе Результаты предыдущих проверок и профилактического контроля с посещением субъектов (объектов) контроля (степень тяжести устанавливается при несоблюдении нижеперечисленных требований):</w:t>
      </w:r>
    </w:p>
    <w:bookmarkEnd w:id="6"/>
    <w:bookmarkStart w:name="z16" w:id="7"/>
    <w:p>
      <w:pPr>
        <w:spacing w:after="0"/>
        <w:ind w:left="0"/>
        <w:jc w:val="both"/>
      </w:pPr>
      <w:r>
        <w:rPr>
          <w:rFonts w:ascii="Times New Roman"/>
          <w:b w:val="false"/>
          <w:i w:val="false"/>
          <w:color w:val="000000"/>
          <w:sz w:val="28"/>
        </w:rPr>
        <w:t>
      строку, порядковый номер 11, изложить в следующей редакции:</w:t>
      </w:r>
    </w:p>
    <w:bookmarkEnd w:id="7"/>
    <w:bookmarkStart w:name="z17"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11371"/>
        <w:gridCol w:w="207"/>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предупреждения о прекращении (ограничении) поставки электрической энергии путем направления уведомления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в сроки не менее чем за 5 (пять) рабочих дня до прекращения поставки электрической энергии Потребителю (Потребителя, использующего электрическую энергию для бытовых нужд не менее чем за 30 (тридцать) календарных дней).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9"/>
    <w:p>
      <w:pPr>
        <w:spacing w:after="0"/>
        <w:ind w:left="0"/>
        <w:jc w:val="both"/>
      </w:pPr>
      <w:r>
        <w:rPr>
          <w:rFonts w:ascii="Times New Roman"/>
          <w:b w:val="false"/>
          <w:i w:val="false"/>
          <w:color w:val="000000"/>
          <w:sz w:val="28"/>
        </w:rPr>
        <w:t>
      строку, порядковый номер 13, изложить в следующей редакции:</w:t>
      </w:r>
    </w:p>
    <w:bookmarkEnd w:id="9"/>
    <w:bookmarkStart w:name="z20"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9345"/>
        <w:gridCol w:w="658"/>
      </w:tblGrid>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Наличие составленного акта потребителю электроэнергии о нарушении в произвольной форме и проведение перерасчета при следующих нарушениях:</w:t>
            </w:r>
            <w:r>
              <w:br/>
            </w:r>
            <w:r>
              <w:rPr>
                <w:rFonts w:ascii="Times New Roman"/>
                <w:b w:val="false"/>
                <w:i w:val="false"/>
                <w:color w:val="000000"/>
                <w:sz w:val="20"/>
              </w:rPr>
              <w:t>
</w:t>
            </w:r>
            <w:r>
              <w:rPr>
                <w:rFonts w:ascii="Times New Roman"/>
                <w:b w:val="false"/>
                <w:i w:val="false"/>
                <w:color w:val="000000"/>
                <w:sz w:val="20"/>
              </w:rPr>
              <w:t>1) самовольное подключение к сетям энергопроизводящей организации;</w:t>
            </w:r>
            <w:r>
              <w:br/>
            </w:r>
            <w:r>
              <w:rPr>
                <w:rFonts w:ascii="Times New Roman"/>
                <w:b w:val="false"/>
                <w:i w:val="false"/>
                <w:color w:val="000000"/>
                <w:sz w:val="20"/>
              </w:rPr>
              <w:t>
</w:t>
            </w:r>
            <w:r>
              <w:rPr>
                <w:rFonts w:ascii="Times New Roman"/>
                <w:b w:val="false"/>
                <w:i w:val="false"/>
                <w:color w:val="000000"/>
                <w:sz w:val="20"/>
              </w:rPr>
              <w:t>2) подключение приемников электроэнергии помимо прибора коммерческого учета электрической энергии (далее – ПКУ);</w:t>
            </w:r>
            <w:r>
              <w:br/>
            </w:r>
            <w:r>
              <w:rPr>
                <w:rFonts w:ascii="Times New Roman"/>
                <w:b w:val="false"/>
                <w:i w:val="false"/>
                <w:color w:val="000000"/>
                <w:sz w:val="20"/>
              </w:rPr>
              <w:t>
</w:t>
            </w:r>
            <w:r>
              <w:rPr>
                <w:rFonts w:ascii="Times New Roman"/>
                <w:b w:val="false"/>
                <w:i w:val="false"/>
                <w:color w:val="000000"/>
                <w:sz w:val="20"/>
              </w:rPr>
              <w:t>3) изменение схемы включения ПКУ, трансформаторов тока и напряжения;</w:t>
            </w:r>
            <w:r>
              <w:br/>
            </w:r>
            <w:r>
              <w:rPr>
                <w:rFonts w:ascii="Times New Roman"/>
                <w:b w:val="false"/>
                <w:i w:val="false"/>
                <w:color w:val="000000"/>
                <w:sz w:val="20"/>
              </w:rPr>
              <w:t>
</w:t>
            </w:r>
            <w:r>
              <w:rPr>
                <w:rFonts w:ascii="Times New Roman"/>
                <w:b w:val="false"/>
                <w:i w:val="false"/>
                <w:color w:val="000000"/>
                <w:sz w:val="20"/>
              </w:rPr>
              <w:t>4) искусственное торможение диска ПКУ;</w:t>
            </w:r>
            <w:r>
              <w:br/>
            </w:r>
            <w:r>
              <w:rPr>
                <w:rFonts w:ascii="Times New Roman"/>
                <w:b w:val="false"/>
                <w:i w:val="false"/>
                <w:color w:val="000000"/>
                <w:sz w:val="20"/>
              </w:rPr>
              <w:t>
5) установка приспособлений, искажающих показания ПКУ.</w:t>
            </w:r>
          </w:p>
          <w:bookmarkEnd w:id="11"/>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12"/>
    <w:p>
      <w:pPr>
        <w:spacing w:after="0"/>
        <w:ind w:left="0"/>
        <w:jc w:val="both"/>
      </w:pPr>
      <w:r>
        <w:rPr>
          <w:rFonts w:ascii="Times New Roman"/>
          <w:b w:val="false"/>
          <w:i w:val="false"/>
          <w:color w:val="000000"/>
          <w:sz w:val="28"/>
        </w:rPr>
        <w:t>
      строку, порядковый номер 22, изложить в следующей редакции:</w:t>
      </w:r>
    </w:p>
    <w:bookmarkEnd w:id="12"/>
    <w:bookmarkStart w:name="z28"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4"/>
        <w:gridCol w:w="9195"/>
        <w:gridCol w:w="691"/>
      </w:tblGrid>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камнезащитных сооружений (камнезадерживающих сеток, камнеловок) в исправном состоянии и выполнение своевременной разгрузки от накопившихся камней.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 w:id="14"/>
    <w:p>
      <w:pPr>
        <w:spacing w:after="0"/>
        <w:ind w:left="0"/>
        <w:jc w:val="both"/>
      </w:pPr>
      <w:r>
        <w:rPr>
          <w:rFonts w:ascii="Times New Roman"/>
          <w:b w:val="false"/>
          <w:i w:val="false"/>
          <w:color w:val="000000"/>
          <w:sz w:val="28"/>
        </w:rPr>
        <w:t>
      строку, порядковый номер 394, изложить в следующей редакции:</w:t>
      </w:r>
    </w:p>
    <w:bookmarkEnd w:id="14"/>
    <w:bookmarkStart w:name="z31"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4"/>
        <w:gridCol w:w="7743"/>
        <w:gridCol w:w="793"/>
      </w:tblGrid>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распорядительного документа по организации или структурному подразделению о допуске работника к самостоятельной работе.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3" w:id="16"/>
    <w:p>
      <w:pPr>
        <w:spacing w:after="0"/>
        <w:ind w:left="0"/>
        <w:jc w:val="both"/>
      </w:pPr>
      <w:r>
        <w:rPr>
          <w:rFonts w:ascii="Times New Roman"/>
          <w:b w:val="false"/>
          <w:i w:val="false"/>
          <w:color w:val="000000"/>
          <w:sz w:val="28"/>
        </w:rPr>
        <w:t>
      раздел Результаты предыдущих проверок и профилактического контроля с посещением субъектов (объектов) контроля (степень тяжести устанавливается при несоблюдении нижеперечисленных требований) дополнить строками, порядковые номера 441, 442, 443, 444, 445, 446, 447, 448, 449, 450, 451, 452, 453, 454, 455, 456, 457, 458, 459, 460, 461, 462, 463, 464, 465, 466, 467, 468, 469, 470, 471, 472, 473, 474, 475, 476, 477, 478, 479, 480, 481, 482, 483, 484, 485, 486, 487, 488, 489, 490, 491, 492, 493, 494, 495, 496, 497, 498, 499, 500, 501, 502, 503, 504, 505, 506, 507, 508, 509, 510, 511, 512, 513, 514, 515, 516, 517, 518, 519, 520, 521, 522, 523, 524, 525, 526, 527, 528, 529, 530, 531, 532, 533 и 534, следующего содержания:</w:t>
      </w:r>
    </w:p>
    <w:bookmarkEnd w:id="16"/>
    <w:bookmarkStart w:name="z34"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11310"/>
        <w:gridCol w:w="173"/>
      </w:tblGrid>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производственных зданий и сооружений энергообъекта.</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графика наружного осмотра мазутопроводов и арматуры – не реже 1 раза в год, а в пределах котельного отделения – не реже 1 раза в квартал и выборочная ревизия арматуры – не реже 1 раза в 4 года.</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графика проверки срабатывания автоматических устройств включения резервных насосов, по графику, но не реже 1 раза в квартал.</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утвержденного графика обхода трассы подземных газопроводов, находящихся на территории электростанции.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измерительных приборов, регуляторов, устройств сигнализации, защиты и блокировки на пылеприготовительных установках электростанции.</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графика пуска котла при растопке котла из различных тепловых состояний.</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обмуровки котлов в исправном состоянии. При температуре окружающего воздуха 25 0С температура на поверхности обмуровки обеспечивается на уровне более 45 0С.</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опломбировки в рабочем положении запорной арматуры, устанавливаемой на линиях системы смазки, регулирования и уплотнений генератора, ошибочное переключение которой может привести к останову или повреждению оборудования.</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резервных питательных насосов, а также насосных агрегатов, находящихся в автоматическом резерве.</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проведения проверки автоматического включения резервных питательных насосов, а также других насосных агрегатов, но не реже 1 раза в месяц.</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мероприятий против обледенения воздушных фильтров и проточной части компрессоров газотурбинных установок (далее – ГТУ).</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абсолютной плотности стопорных и регулирующих топливных клапанов ГТУ.</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опломбировки в рабочем положении маховиков задвижек и клапанов, установленных на маслопроводах до и после маслоохладителей, на линиях всасывания и напора резервных и аварийных маслонасосов и на линиях аварийного слива масла из маслобаков ГТУ, до и после выносных фильтров, в схеме уплотнений вала генератора.</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Обеспечение соответствия качества пара прямоточных котлов следующим нормам:</w:t>
            </w:r>
            <w:r>
              <w:br/>
            </w:r>
            <w:r>
              <w:rPr>
                <w:rFonts w:ascii="Times New Roman"/>
                <w:b w:val="false"/>
                <w:i w:val="false"/>
                <w:color w:val="000000"/>
                <w:sz w:val="20"/>
              </w:rPr>
              <w:t>
</w:t>
            </w:r>
            <w:r>
              <w:rPr>
                <w:rFonts w:ascii="Times New Roman"/>
                <w:b w:val="false"/>
                <w:i w:val="false"/>
                <w:color w:val="000000"/>
                <w:sz w:val="20"/>
              </w:rPr>
              <w:t>- Соединения натрия – не более 5 мкг/дм3;</w:t>
            </w:r>
            <w:r>
              <w:br/>
            </w:r>
            <w:r>
              <w:rPr>
                <w:rFonts w:ascii="Times New Roman"/>
                <w:b w:val="false"/>
                <w:i w:val="false"/>
                <w:color w:val="000000"/>
                <w:sz w:val="20"/>
              </w:rPr>
              <w:t>
</w:t>
            </w:r>
            <w:r>
              <w:rPr>
                <w:rFonts w:ascii="Times New Roman"/>
                <w:b w:val="false"/>
                <w:i w:val="false"/>
                <w:color w:val="000000"/>
                <w:sz w:val="20"/>
              </w:rPr>
              <w:t>- Кремниевая кислота – не более 15 мкг/дм3;</w:t>
            </w:r>
            <w:r>
              <w:br/>
            </w:r>
            <w:r>
              <w:rPr>
                <w:rFonts w:ascii="Times New Roman"/>
                <w:b w:val="false"/>
                <w:i w:val="false"/>
                <w:color w:val="000000"/>
                <w:sz w:val="20"/>
              </w:rPr>
              <w:t>
</w:t>
            </w:r>
            <w:r>
              <w:rPr>
                <w:rFonts w:ascii="Times New Roman"/>
                <w:b w:val="false"/>
                <w:i w:val="false"/>
                <w:color w:val="000000"/>
                <w:sz w:val="20"/>
              </w:rPr>
              <w:t>- Удельная электрическая проводимость – не более 0,3 мкСм/см;</w:t>
            </w:r>
            <w:r>
              <w:br/>
            </w:r>
            <w:r>
              <w:rPr>
                <w:rFonts w:ascii="Times New Roman"/>
                <w:b w:val="false"/>
                <w:i w:val="false"/>
                <w:color w:val="000000"/>
                <w:sz w:val="20"/>
              </w:rPr>
              <w:t>
</w:t>
            </w:r>
            <w:r>
              <w:rPr>
                <w:rFonts w:ascii="Times New Roman"/>
                <w:b w:val="false"/>
                <w:i w:val="false"/>
                <w:color w:val="000000"/>
                <w:sz w:val="20"/>
              </w:rPr>
              <w:t>- рН – не менее....7,5;</w:t>
            </w:r>
            <w:r>
              <w:br/>
            </w:r>
            <w:r>
              <w:rPr>
                <w:rFonts w:ascii="Times New Roman"/>
                <w:b w:val="false"/>
                <w:i w:val="false"/>
                <w:color w:val="000000"/>
                <w:sz w:val="20"/>
              </w:rPr>
              <w:t>
При нейтрально-кислородном водно-химическом режиме – не менее 6,5.</w:t>
            </w:r>
          </w:p>
          <w:bookmarkEnd w:id="18"/>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9"/>
          <w:p>
            <w:pPr>
              <w:spacing w:after="20"/>
              <w:ind w:left="20"/>
              <w:jc w:val="both"/>
            </w:pPr>
            <w:r>
              <w:rPr>
                <w:rFonts w:ascii="Times New Roman"/>
                <w:b w:val="false"/>
                <w:i w:val="false"/>
                <w:color w:val="000000"/>
                <w:sz w:val="20"/>
              </w:rPr>
              <w:t>
Обеспечение соответствия качества питательной воды прямоточных котлов следующим нормам:</w:t>
            </w:r>
            <w:r>
              <w:br/>
            </w:r>
            <w:r>
              <w:rPr>
                <w:rFonts w:ascii="Times New Roman"/>
                <w:b w:val="false"/>
                <w:i w:val="false"/>
                <w:color w:val="000000"/>
                <w:sz w:val="20"/>
              </w:rPr>
              <w:t>
</w:t>
            </w:r>
            <w:r>
              <w:rPr>
                <w:rFonts w:ascii="Times New Roman"/>
                <w:b w:val="false"/>
                <w:i w:val="false"/>
                <w:color w:val="000000"/>
                <w:sz w:val="20"/>
              </w:rPr>
              <w:t>- общая жесткость – не более 0,2 мкг-экв/дм3;</w:t>
            </w:r>
            <w:r>
              <w:br/>
            </w:r>
            <w:r>
              <w:rPr>
                <w:rFonts w:ascii="Times New Roman"/>
                <w:b w:val="false"/>
                <w:i w:val="false"/>
                <w:color w:val="000000"/>
                <w:sz w:val="20"/>
              </w:rPr>
              <w:t>
</w:t>
            </w:r>
            <w:r>
              <w:rPr>
                <w:rFonts w:ascii="Times New Roman"/>
                <w:b w:val="false"/>
                <w:i w:val="false"/>
                <w:color w:val="000000"/>
                <w:sz w:val="20"/>
              </w:rPr>
              <w:t>- соединения натрия – не более 5 мкг/дм3;</w:t>
            </w:r>
            <w:r>
              <w:br/>
            </w:r>
            <w:r>
              <w:rPr>
                <w:rFonts w:ascii="Times New Roman"/>
                <w:b w:val="false"/>
                <w:i w:val="false"/>
                <w:color w:val="000000"/>
                <w:sz w:val="20"/>
              </w:rPr>
              <w:t>
</w:t>
            </w:r>
            <w:r>
              <w:rPr>
                <w:rFonts w:ascii="Times New Roman"/>
                <w:b w:val="false"/>
                <w:i w:val="false"/>
                <w:color w:val="000000"/>
                <w:sz w:val="20"/>
              </w:rPr>
              <w:t>- кремниевая кислота – не более 15 мкг/дм3;</w:t>
            </w:r>
            <w:r>
              <w:br/>
            </w:r>
            <w:r>
              <w:rPr>
                <w:rFonts w:ascii="Times New Roman"/>
                <w:b w:val="false"/>
                <w:i w:val="false"/>
                <w:color w:val="000000"/>
                <w:sz w:val="20"/>
              </w:rPr>
              <w:t>
</w:t>
            </w:r>
            <w:r>
              <w:rPr>
                <w:rFonts w:ascii="Times New Roman"/>
                <w:b w:val="false"/>
                <w:i w:val="false"/>
                <w:color w:val="000000"/>
                <w:sz w:val="20"/>
              </w:rPr>
              <w:t>- соединения железа – не более 10 мкг/дм3;</w:t>
            </w:r>
            <w:r>
              <w:br/>
            </w:r>
            <w:r>
              <w:rPr>
                <w:rFonts w:ascii="Times New Roman"/>
                <w:b w:val="false"/>
                <w:i w:val="false"/>
                <w:color w:val="000000"/>
                <w:sz w:val="20"/>
              </w:rPr>
              <w:t>
</w:t>
            </w:r>
            <w:r>
              <w:rPr>
                <w:rFonts w:ascii="Times New Roman"/>
                <w:b w:val="false"/>
                <w:i w:val="false"/>
                <w:color w:val="000000"/>
                <w:sz w:val="20"/>
              </w:rPr>
              <w:t>- растворенный кислород при кислородных режимах 100-400 мкг/дм3;</w:t>
            </w:r>
            <w:r>
              <w:br/>
            </w:r>
            <w:r>
              <w:rPr>
                <w:rFonts w:ascii="Times New Roman"/>
                <w:b w:val="false"/>
                <w:i w:val="false"/>
                <w:color w:val="000000"/>
                <w:sz w:val="20"/>
              </w:rPr>
              <w:t>
</w:t>
            </w:r>
            <w:r>
              <w:rPr>
                <w:rFonts w:ascii="Times New Roman"/>
                <w:b w:val="false"/>
                <w:i w:val="false"/>
                <w:color w:val="000000"/>
                <w:sz w:val="20"/>
              </w:rPr>
              <w:t>- удельная электрическая проводимость – не более 0,3мкСм/см;</w:t>
            </w:r>
            <w:r>
              <w:br/>
            </w:r>
            <w:r>
              <w:rPr>
                <w:rFonts w:ascii="Times New Roman"/>
                <w:b w:val="false"/>
                <w:i w:val="false"/>
                <w:color w:val="000000"/>
                <w:sz w:val="20"/>
              </w:rPr>
              <w:t>
</w:t>
            </w:r>
            <w:r>
              <w:rPr>
                <w:rFonts w:ascii="Times New Roman"/>
                <w:b w:val="false"/>
                <w:i w:val="false"/>
                <w:color w:val="000000"/>
                <w:sz w:val="20"/>
              </w:rPr>
              <w:t>- соединения меди в воде перед деаэратором – не более 5 мкг/дм3;</w:t>
            </w:r>
            <w:r>
              <w:br/>
            </w:r>
            <w:r>
              <w:rPr>
                <w:rFonts w:ascii="Times New Roman"/>
                <w:b w:val="false"/>
                <w:i w:val="false"/>
                <w:color w:val="000000"/>
                <w:sz w:val="20"/>
              </w:rPr>
              <w:t>
</w:t>
            </w:r>
            <w:r>
              <w:rPr>
                <w:rFonts w:ascii="Times New Roman"/>
                <w:b w:val="false"/>
                <w:i w:val="false"/>
                <w:color w:val="000000"/>
                <w:sz w:val="20"/>
              </w:rPr>
              <w:t>- растворенный кислород в воде после деаэратора – не более 10 мкг/ дм3;</w:t>
            </w:r>
            <w:r>
              <w:br/>
            </w:r>
            <w:r>
              <w:rPr>
                <w:rFonts w:ascii="Times New Roman"/>
                <w:b w:val="false"/>
                <w:i w:val="false"/>
                <w:color w:val="000000"/>
                <w:sz w:val="20"/>
              </w:rPr>
              <w:t>
</w:t>
            </w:r>
            <w:r>
              <w:rPr>
                <w:rFonts w:ascii="Times New Roman"/>
                <w:b w:val="false"/>
                <w:i w:val="false"/>
                <w:color w:val="000000"/>
                <w:sz w:val="20"/>
              </w:rPr>
              <w:t>- значения рН при режиме:</w:t>
            </w:r>
            <w:r>
              <w:br/>
            </w:r>
            <w:r>
              <w:rPr>
                <w:rFonts w:ascii="Times New Roman"/>
                <w:b w:val="false"/>
                <w:i w:val="false"/>
                <w:color w:val="000000"/>
                <w:sz w:val="20"/>
              </w:rPr>
              <w:t>
</w:t>
            </w:r>
            <w:r>
              <w:rPr>
                <w:rFonts w:ascii="Times New Roman"/>
                <w:b w:val="false"/>
                <w:i w:val="false"/>
                <w:color w:val="000000"/>
                <w:sz w:val="20"/>
              </w:rPr>
              <w:t>гидразинно-аммиачном - 9,1+0,</w:t>
            </w:r>
            <w:r>
              <w:br/>
            </w:r>
            <w:r>
              <w:rPr>
                <w:rFonts w:ascii="Times New Roman"/>
                <w:b w:val="false"/>
                <w:i w:val="false"/>
                <w:color w:val="000000"/>
                <w:sz w:val="20"/>
              </w:rPr>
              <w:t>
</w:t>
            </w:r>
            <w:r>
              <w:rPr>
                <w:rFonts w:ascii="Times New Roman"/>
                <w:b w:val="false"/>
                <w:i w:val="false"/>
                <w:color w:val="000000"/>
                <w:sz w:val="20"/>
              </w:rPr>
              <w:t>гидразинном - 7,7+0,2</w:t>
            </w:r>
            <w:r>
              <w:br/>
            </w:r>
            <w:r>
              <w:rPr>
                <w:rFonts w:ascii="Times New Roman"/>
                <w:b w:val="false"/>
                <w:i w:val="false"/>
                <w:color w:val="000000"/>
                <w:sz w:val="20"/>
              </w:rPr>
              <w:t>
</w:t>
            </w:r>
            <w:r>
              <w:rPr>
                <w:rFonts w:ascii="Times New Roman"/>
                <w:b w:val="false"/>
                <w:i w:val="false"/>
                <w:color w:val="000000"/>
                <w:sz w:val="20"/>
              </w:rPr>
              <w:t>кислородно-аммиачном - 8,0+0,5</w:t>
            </w:r>
            <w:r>
              <w:br/>
            </w:r>
            <w:r>
              <w:rPr>
                <w:rFonts w:ascii="Times New Roman"/>
                <w:b w:val="false"/>
                <w:i w:val="false"/>
                <w:color w:val="000000"/>
                <w:sz w:val="20"/>
              </w:rPr>
              <w:t>
</w:t>
            </w:r>
            <w:r>
              <w:rPr>
                <w:rFonts w:ascii="Times New Roman"/>
                <w:b w:val="false"/>
                <w:i w:val="false"/>
                <w:color w:val="000000"/>
                <w:sz w:val="20"/>
              </w:rPr>
              <w:t>нейтрально-кислородном - 7,0+0,5</w:t>
            </w:r>
            <w:r>
              <w:br/>
            </w:r>
            <w:r>
              <w:rPr>
                <w:rFonts w:ascii="Times New Roman"/>
                <w:b w:val="false"/>
                <w:i w:val="false"/>
                <w:color w:val="000000"/>
                <w:sz w:val="20"/>
              </w:rPr>
              <w:t>
</w:t>
            </w:r>
            <w:r>
              <w:rPr>
                <w:rFonts w:ascii="Times New Roman"/>
                <w:b w:val="false"/>
                <w:i w:val="false"/>
                <w:color w:val="000000"/>
                <w:sz w:val="20"/>
              </w:rPr>
              <w:t>- гидразин, мкг/дм3, при режиме:</w:t>
            </w:r>
            <w:r>
              <w:br/>
            </w:r>
            <w:r>
              <w:rPr>
                <w:rFonts w:ascii="Times New Roman"/>
                <w:b w:val="false"/>
                <w:i w:val="false"/>
                <w:color w:val="000000"/>
                <w:sz w:val="20"/>
              </w:rPr>
              <w:t>
</w:t>
            </w:r>
            <w:r>
              <w:rPr>
                <w:rFonts w:ascii="Times New Roman"/>
                <w:b w:val="false"/>
                <w:i w:val="false"/>
                <w:color w:val="000000"/>
                <w:sz w:val="20"/>
              </w:rPr>
              <w:t>гидразинно-аммиачном - 20-60</w:t>
            </w:r>
            <w:r>
              <w:br/>
            </w:r>
            <w:r>
              <w:rPr>
                <w:rFonts w:ascii="Times New Roman"/>
                <w:b w:val="false"/>
                <w:i w:val="false"/>
                <w:color w:val="000000"/>
                <w:sz w:val="20"/>
              </w:rPr>
              <w:t>
</w:t>
            </w:r>
            <w:r>
              <w:rPr>
                <w:rFonts w:ascii="Times New Roman"/>
                <w:b w:val="false"/>
                <w:i w:val="false"/>
                <w:color w:val="000000"/>
                <w:sz w:val="20"/>
              </w:rPr>
              <w:t>гидразинном - 80-100</w:t>
            </w:r>
            <w:r>
              <w:br/>
            </w:r>
            <w:r>
              <w:rPr>
                <w:rFonts w:ascii="Times New Roman"/>
                <w:b w:val="false"/>
                <w:i w:val="false"/>
                <w:color w:val="000000"/>
                <w:sz w:val="20"/>
              </w:rPr>
              <w:t>
</w:t>
            </w:r>
            <w:r>
              <w:rPr>
                <w:rFonts w:ascii="Times New Roman"/>
                <w:b w:val="false"/>
                <w:i w:val="false"/>
                <w:color w:val="000000"/>
                <w:sz w:val="20"/>
              </w:rPr>
              <w:t>пуска и останова до – 3000</w:t>
            </w:r>
            <w:r>
              <w:br/>
            </w:r>
            <w:r>
              <w:rPr>
                <w:rFonts w:ascii="Times New Roman"/>
                <w:b w:val="false"/>
                <w:i w:val="false"/>
                <w:color w:val="000000"/>
                <w:sz w:val="20"/>
              </w:rPr>
              <w:t>
- содержание нефтепродуктов (до конденсатоочистки) – не более 0,1 мкг/дм3.</w:t>
            </w:r>
          </w:p>
          <w:bookmarkEnd w:id="19"/>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0"/>
          <w:p>
            <w:pPr>
              <w:spacing w:after="20"/>
              <w:ind w:left="20"/>
              <w:jc w:val="both"/>
            </w:pPr>
            <w:r>
              <w:rPr>
                <w:rFonts w:ascii="Times New Roman"/>
                <w:b w:val="false"/>
                <w:i w:val="false"/>
                <w:color w:val="000000"/>
                <w:sz w:val="20"/>
              </w:rPr>
              <w:t>
Обеспечение соответствия качества насыщенного и перегретого пара котлов с естественной циркуляцией для теплоэлектроцентралей следующим нормам:</w:t>
            </w:r>
            <w:r>
              <w:br/>
            </w:r>
            <w:r>
              <w:rPr>
                <w:rFonts w:ascii="Times New Roman"/>
                <w:b w:val="false"/>
                <w:i w:val="false"/>
                <w:color w:val="000000"/>
                <w:sz w:val="20"/>
              </w:rPr>
              <w:t>
</w:t>
            </w:r>
            <w:r>
              <w:rPr>
                <w:rFonts w:ascii="Times New Roman"/>
                <w:b w:val="false"/>
                <w:i w:val="false"/>
                <w:color w:val="000000"/>
                <w:sz w:val="20"/>
              </w:rPr>
              <w:t>- содержание соединений натрия, мкг/дм3, не более:</w:t>
            </w:r>
            <w:r>
              <w:br/>
            </w:r>
            <w:r>
              <w:rPr>
                <w:rFonts w:ascii="Times New Roman"/>
                <w:b w:val="false"/>
                <w:i w:val="false"/>
                <w:color w:val="000000"/>
                <w:sz w:val="20"/>
              </w:rPr>
              <w:t>
</w:t>
            </w:r>
            <w:r>
              <w:rPr>
                <w:rFonts w:ascii="Times New Roman"/>
                <w:b w:val="false"/>
                <w:i w:val="false"/>
                <w:color w:val="000000"/>
                <w:sz w:val="20"/>
              </w:rPr>
              <w:t>при давлении за котлом 40 кгс/cм2 – 100;</w:t>
            </w:r>
            <w:r>
              <w:br/>
            </w:r>
            <w:r>
              <w:rPr>
                <w:rFonts w:ascii="Times New Roman"/>
                <w:b w:val="false"/>
                <w:i w:val="false"/>
                <w:color w:val="000000"/>
                <w:sz w:val="20"/>
              </w:rPr>
              <w:t>
</w:t>
            </w:r>
            <w:r>
              <w:rPr>
                <w:rFonts w:ascii="Times New Roman"/>
                <w:b w:val="false"/>
                <w:i w:val="false"/>
                <w:color w:val="000000"/>
                <w:sz w:val="20"/>
              </w:rPr>
              <w:t>при давлении за котлом 100 кгс/cм2 – 25;</w:t>
            </w:r>
            <w:r>
              <w:br/>
            </w:r>
            <w:r>
              <w:rPr>
                <w:rFonts w:ascii="Times New Roman"/>
                <w:b w:val="false"/>
                <w:i w:val="false"/>
                <w:color w:val="000000"/>
                <w:sz w:val="20"/>
              </w:rPr>
              <w:t>
</w:t>
            </w:r>
            <w:r>
              <w:rPr>
                <w:rFonts w:ascii="Times New Roman"/>
                <w:b w:val="false"/>
                <w:i w:val="false"/>
                <w:color w:val="000000"/>
                <w:sz w:val="20"/>
              </w:rPr>
              <w:t>при давлении за котлом 140 кгс/cм2 – 5;</w:t>
            </w:r>
            <w:r>
              <w:br/>
            </w:r>
            <w:r>
              <w:rPr>
                <w:rFonts w:ascii="Times New Roman"/>
                <w:b w:val="false"/>
                <w:i w:val="false"/>
                <w:color w:val="000000"/>
                <w:sz w:val="20"/>
              </w:rPr>
              <w:t>
</w:t>
            </w:r>
            <w:r>
              <w:rPr>
                <w:rFonts w:ascii="Times New Roman"/>
                <w:b w:val="false"/>
                <w:i w:val="false"/>
                <w:color w:val="000000"/>
                <w:sz w:val="20"/>
              </w:rPr>
              <w:t>- содержание кремниевой кислоты для котлов давлением 70 кгс/см2 и выше не более 25 мкг/дм3;</w:t>
            </w:r>
            <w:r>
              <w:br/>
            </w:r>
            <w:r>
              <w:rPr>
                <w:rFonts w:ascii="Times New Roman"/>
                <w:b w:val="false"/>
                <w:i w:val="false"/>
                <w:color w:val="000000"/>
                <w:sz w:val="20"/>
              </w:rPr>
              <w:t>
</w:t>
            </w:r>
            <w:r>
              <w:rPr>
                <w:rFonts w:ascii="Times New Roman"/>
                <w:b w:val="false"/>
                <w:i w:val="false"/>
                <w:color w:val="000000"/>
                <w:sz w:val="20"/>
              </w:rPr>
              <w:t>- значение рН для котлов всех давлений не менее 7,5;</w:t>
            </w:r>
            <w:r>
              <w:br/>
            </w:r>
            <w:r>
              <w:rPr>
                <w:rFonts w:ascii="Times New Roman"/>
                <w:b w:val="false"/>
                <w:i w:val="false"/>
                <w:color w:val="000000"/>
                <w:sz w:val="20"/>
              </w:rPr>
              <w:t>
</w:t>
            </w:r>
            <w:r>
              <w:rPr>
                <w:rFonts w:ascii="Times New Roman"/>
                <w:b w:val="false"/>
                <w:i w:val="false"/>
                <w:color w:val="000000"/>
                <w:sz w:val="20"/>
              </w:rPr>
              <w:t>- удельная электрическая проводимость должна быть:</w:t>
            </w:r>
            <w:r>
              <w:br/>
            </w:r>
            <w:r>
              <w:rPr>
                <w:rFonts w:ascii="Times New Roman"/>
                <w:b w:val="false"/>
                <w:i w:val="false"/>
                <w:color w:val="000000"/>
                <w:sz w:val="20"/>
              </w:rPr>
              <w:t>
</w:t>
            </w:r>
            <w:r>
              <w:rPr>
                <w:rFonts w:ascii="Times New Roman"/>
                <w:b w:val="false"/>
                <w:i w:val="false"/>
                <w:color w:val="000000"/>
                <w:sz w:val="20"/>
              </w:rPr>
              <w:t>для котлов давлением 100 кгс/см2 не более 0,5 мкСм/см;</w:t>
            </w:r>
            <w:r>
              <w:br/>
            </w:r>
            <w:r>
              <w:rPr>
                <w:rFonts w:ascii="Times New Roman"/>
                <w:b w:val="false"/>
                <w:i w:val="false"/>
                <w:color w:val="000000"/>
                <w:sz w:val="20"/>
              </w:rPr>
              <w:t>
</w:t>
            </w:r>
            <w:r>
              <w:rPr>
                <w:rFonts w:ascii="Times New Roman"/>
                <w:b w:val="false"/>
                <w:i w:val="false"/>
                <w:color w:val="000000"/>
                <w:sz w:val="20"/>
              </w:rPr>
              <w:t>для дегазированной пробы или 1,5 мкСм/см для Н-катионированной пробы;</w:t>
            </w:r>
            <w:r>
              <w:br/>
            </w:r>
            <w:r>
              <w:rPr>
                <w:rFonts w:ascii="Times New Roman"/>
                <w:b w:val="false"/>
                <w:i w:val="false"/>
                <w:color w:val="000000"/>
                <w:sz w:val="20"/>
              </w:rPr>
              <w:t>
для котлов давлением 140 кгс/см2 (13,8 МПа) не более 0,3 мкСм/см для дегазированной пробы или 1 мкСм/см для Н-катионированной пробы.</w:t>
            </w:r>
          </w:p>
          <w:bookmarkEnd w:id="20"/>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1"/>
          <w:p>
            <w:pPr>
              <w:spacing w:after="20"/>
              <w:ind w:left="20"/>
              <w:jc w:val="both"/>
            </w:pPr>
            <w:r>
              <w:rPr>
                <w:rFonts w:ascii="Times New Roman"/>
                <w:b w:val="false"/>
                <w:i w:val="false"/>
                <w:color w:val="000000"/>
                <w:sz w:val="20"/>
              </w:rPr>
              <w:t>
Обеспечение соответствия качества насыщенного и перегретого пара котлов с естественной циркуляцией для государственной районной электростанции следующим нормам:</w:t>
            </w:r>
            <w:r>
              <w:br/>
            </w:r>
            <w:r>
              <w:rPr>
                <w:rFonts w:ascii="Times New Roman"/>
                <w:b w:val="false"/>
                <w:i w:val="false"/>
                <w:color w:val="000000"/>
                <w:sz w:val="20"/>
              </w:rPr>
              <w:t>
</w:t>
            </w:r>
            <w:r>
              <w:rPr>
                <w:rFonts w:ascii="Times New Roman"/>
                <w:b w:val="false"/>
                <w:i w:val="false"/>
                <w:color w:val="000000"/>
                <w:sz w:val="20"/>
              </w:rPr>
              <w:t>- содержание соединений натрия, мкг/дм3, не более:</w:t>
            </w:r>
            <w:r>
              <w:br/>
            </w:r>
            <w:r>
              <w:rPr>
                <w:rFonts w:ascii="Times New Roman"/>
                <w:b w:val="false"/>
                <w:i w:val="false"/>
                <w:color w:val="000000"/>
                <w:sz w:val="20"/>
              </w:rPr>
              <w:t>
</w:t>
            </w:r>
            <w:r>
              <w:rPr>
                <w:rFonts w:ascii="Times New Roman"/>
                <w:b w:val="false"/>
                <w:i w:val="false"/>
                <w:color w:val="000000"/>
                <w:sz w:val="20"/>
              </w:rPr>
              <w:t>при давлении за котлом 40 кгс/cм2 – 60;</w:t>
            </w:r>
            <w:r>
              <w:br/>
            </w:r>
            <w:r>
              <w:rPr>
                <w:rFonts w:ascii="Times New Roman"/>
                <w:b w:val="false"/>
                <w:i w:val="false"/>
                <w:color w:val="000000"/>
                <w:sz w:val="20"/>
              </w:rPr>
              <w:t>
</w:t>
            </w:r>
            <w:r>
              <w:rPr>
                <w:rFonts w:ascii="Times New Roman"/>
                <w:b w:val="false"/>
                <w:i w:val="false"/>
                <w:color w:val="000000"/>
                <w:sz w:val="20"/>
              </w:rPr>
              <w:t>при давлении за котлом 100 кгс/cм2 – 15;</w:t>
            </w:r>
            <w:r>
              <w:br/>
            </w:r>
            <w:r>
              <w:rPr>
                <w:rFonts w:ascii="Times New Roman"/>
                <w:b w:val="false"/>
                <w:i w:val="false"/>
                <w:color w:val="000000"/>
                <w:sz w:val="20"/>
              </w:rPr>
              <w:t>
</w:t>
            </w:r>
            <w:r>
              <w:rPr>
                <w:rFonts w:ascii="Times New Roman"/>
                <w:b w:val="false"/>
                <w:i w:val="false"/>
                <w:color w:val="000000"/>
                <w:sz w:val="20"/>
              </w:rPr>
              <w:t>при давлении за котлом 140 кгс/cм2 – 5;</w:t>
            </w:r>
            <w:r>
              <w:br/>
            </w:r>
            <w:r>
              <w:rPr>
                <w:rFonts w:ascii="Times New Roman"/>
                <w:b w:val="false"/>
                <w:i w:val="false"/>
                <w:color w:val="000000"/>
                <w:sz w:val="20"/>
              </w:rPr>
              <w:t>
</w:t>
            </w:r>
            <w:r>
              <w:rPr>
                <w:rFonts w:ascii="Times New Roman"/>
                <w:b w:val="false"/>
                <w:i w:val="false"/>
                <w:color w:val="000000"/>
                <w:sz w:val="20"/>
              </w:rPr>
              <w:t>- содержание кремниевой кислоты для котлов давлением 70 кгс/см2 и выше не более 15 мкг/дм3;</w:t>
            </w:r>
            <w:r>
              <w:br/>
            </w:r>
            <w:r>
              <w:rPr>
                <w:rFonts w:ascii="Times New Roman"/>
                <w:b w:val="false"/>
                <w:i w:val="false"/>
                <w:color w:val="000000"/>
                <w:sz w:val="20"/>
              </w:rPr>
              <w:t>
</w:t>
            </w:r>
            <w:r>
              <w:rPr>
                <w:rFonts w:ascii="Times New Roman"/>
                <w:b w:val="false"/>
                <w:i w:val="false"/>
                <w:color w:val="000000"/>
                <w:sz w:val="20"/>
              </w:rPr>
              <w:t>- значение рН для котлов всех давлений не менее 7,5;</w:t>
            </w:r>
            <w:r>
              <w:br/>
            </w:r>
            <w:r>
              <w:rPr>
                <w:rFonts w:ascii="Times New Roman"/>
                <w:b w:val="false"/>
                <w:i w:val="false"/>
                <w:color w:val="000000"/>
                <w:sz w:val="20"/>
              </w:rPr>
              <w:t>
</w:t>
            </w:r>
            <w:r>
              <w:rPr>
                <w:rFonts w:ascii="Times New Roman"/>
                <w:b w:val="false"/>
                <w:i w:val="false"/>
                <w:color w:val="000000"/>
                <w:sz w:val="20"/>
              </w:rPr>
              <w:t>- удельная электрическая проводимость должна быть:</w:t>
            </w:r>
            <w:r>
              <w:br/>
            </w:r>
            <w:r>
              <w:rPr>
                <w:rFonts w:ascii="Times New Roman"/>
                <w:b w:val="false"/>
                <w:i w:val="false"/>
                <w:color w:val="000000"/>
                <w:sz w:val="20"/>
              </w:rPr>
              <w:t>
</w:t>
            </w:r>
            <w:r>
              <w:rPr>
                <w:rFonts w:ascii="Times New Roman"/>
                <w:b w:val="false"/>
                <w:i w:val="false"/>
                <w:color w:val="000000"/>
                <w:sz w:val="20"/>
              </w:rPr>
              <w:t>для котлов давлением 100 кгс/см2 не более 0,5 мкСм/см;</w:t>
            </w:r>
            <w:r>
              <w:br/>
            </w:r>
            <w:r>
              <w:rPr>
                <w:rFonts w:ascii="Times New Roman"/>
                <w:b w:val="false"/>
                <w:i w:val="false"/>
                <w:color w:val="000000"/>
                <w:sz w:val="20"/>
              </w:rPr>
              <w:t>
</w:t>
            </w:r>
            <w:r>
              <w:rPr>
                <w:rFonts w:ascii="Times New Roman"/>
                <w:b w:val="false"/>
                <w:i w:val="false"/>
                <w:color w:val="000000"/>
                <w:sz w:val="20"/>
              </w:rPr>
              <w:t>для дегазированной пробы или 1,5 мкСм/см для Н-катионированной пробы;</w:t>
            </w:r>
            <w:r>
              <w:br/>
            </w:r>
            <w:r>
              <w:rPr>
                <w:rFonts w:ascii="Times New Roman"/>
                <w:b w:val="false"/>
                <w:i w:val="false"/>
                <w:color w:val="000000"/>
                <w:sz w:val="20"/>
              </w:rPr>
              <w:t>
</w:t>
            </w:r>
            <w:r>
              <w:rPr>
                <w:rFonts w:ascii="Times New Roman"/>
                <w:b w:val="false"/>
                <w:i w:val="false"/>
                <w:color w:val="000000"/>
                <w:sz w:val="20"/>
              </w:rPr>
              <w:t>для котлов давлением 140 кгс/см2 (13,8 МПа) не более 0,3 мкСм/см</w:t>
            </w:r>
            <w:r>
              <w:br/>
            </w:r>
            <w:r>
              <w:rPr>
                <w:rFonts w:ascii="Times New Roman"/>
                <w:b w:val="false"/>
                <w:i w:val="false"/>
                <w:color w:val="000000"/>
                <w:sz w:val="20"/>
              </w:rPr>
              <w:t>
для дегазированной пробы или 1 мкСм/см для Н-катионированной пробы.</w:t>
            </w:r>
          </w:p>
          <w:bookmarkEnd w:id="21"/>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2"/>
          <w:p>
            <w:pPr>
              <w:spacing w:after="20"/>
              <w:ind w:left="20"/>
              <w:jc w:val="both"/>
            </w:pPr>
            <w:r>
              <w:rPr>
                <w:rFonts w:ascii="Times New Roman"/>
                <w:b w:val="false"/>
                <w:i w:val="false"/>
                <w:color w:val="000000"/>
                <w:sz w:val="20"/>
              </w:rPr>
              <w:t>
Обеспечение соответствия качества питательной воды котлов с естественной циркуляцией на жидком топливе следующим нормам:</w:t>
            </w:r>
            <w:r>
              <w:br/>
            </w:r>
            <w:r>
              <w:rPr>
                <w:rFonts w:ascii="Times New Roman"/>
                <w:b w:val="false"/>
                <w:i w:val="false"/>
                <w:color w:val="000000"/>
                <w:sz w:val="20"/>
              </w:rPr>
              <w:t>
</w:t>
            </w:r>
            <w:r>
              <w:rPr>
                <w:rFonts w:ascii="Times New Roman"/>
                <w:b w:val="false"/>
                <w:i w:val="false"/>
                <w:color w:val="000000"/>
                <w:sz w:val="20"/>
              </w:rPr>
              <w:t>- общая жесткость, мкг-экв/дм3, не более:</w:t>
            </w:r>
            <w:r>
              <w:br/>
            </w:r>
            <w:r>
              <w:rPr>
                <w:rFonts w:ascii="Times New Roman"/>
                <w:b w:val="false"/>
                <w:i w:val="false"/>
                <w:color w:val="000000"/>
                <w:sz w:val="20"/>
              </w:rPr>
              <w:t>
</w:t>
            </w:r>
            <w:r>
              <w:rPr>
                <w:rFonts w:ascii="Times New Roman"/>
                <w:b w:val="false"/>
                <w:i w:val="false"/>
                <w:color w:val="000000"/>
                <w:sz w:val="20"/>
              </w:rPr>
              <w:t>при давлении за котлом 40 кгс/cм2 – 5;</w:t>
            </w:r>
            <w:r>
              <w:br/>
            </w:r>
            <w:r>
              <w:rPr>
                <w:rFonts w:ascii="Times New Roman"/>
                <w:b w:val="false"/>
                <w:i w:val="false"/>
                <w:color w:val="000000"/>
                <w:sz w:val="20"/>
              </w:rPr>
              <w:t>
</w:t>
            </w:r>
            <w:r>
              <w:rPr>
                <w:rFonts w:ascii="Times New Roman"/>
                <w:b w:val="false"/>
                <w:i w:val="false"/>
                <w:color w:val="000000"/>
                <w:sz w:val="20"/>
              </w:rPr>
              <w:t>при давлении за котлом 100 кгс/cм2 – 1;</w:t>
            </w:r>
            <w:r>
              <w:br/>
            </w:r>
            <w:r>
              <w:rPr>
                <w:rFonts w:ascii="Times New Roman"/>
                <w:b w:val="false"/>
                <w:i w:val="false"/>
                <w:color w:val="000000"/>
                <w:sz w:val="20"/>
              </w:rPr>
              <w:t>
</w:t>
            </w:r>
            <w:r>
              <w:rPr>
                <w:rFonts w:ascii="Times New Roman"/>
                <w:b w:val="false"/>
                <w:i w:val="false"/>
                <w:color w:val="000000"/>
                <w:sz w:val="20"/>
              </w:rPr>
              <w:t>при давлении за котлом 140 кгс/cм2 – 1;</w:t>
            </w:r>
            <w:r>
              <w:br/>
            </w:r>
            <w:r>
              <w:rPr>
                <w:rFonts w:ascii="Times New Roman"/>
                <w:b w:val="false"/>
                <w:i w:val="false"/>
                <w:color w:val="000000"/>
                <w:sz w:val="20"/>
              </w:rPr>
              <w:t>
</w:t>
            </w:r>
            <w:r>
              <w:rPr>
                <w:rFonts w:ascii="Times New Roman"/>
                <w:b w:val="false"/>
                <w:i w:val="false"/>
                <w:color w:val="000000"/>
                <w:sz w:val="20"/>
              </w:rPr>
              <w:t>- содержание соединений железа, мкг/дм3, не более:</w:t>
            </w:r>
            <w:r>
              <w:br/>
            </w:r>
            <w:r>
              <w:rPr>
                <w:rFonts w:ascii="Times New Roman"/>
                <w:b w:val="false"/>
                <w:i w:val="false"/>
                <w:color w:val="000000"/>
                <w:sz w:val="20"/>
              </w:rPr>
              <w:t>
</w:t>
            </w:r>
            <w:r>
              <w:rPr>
                <w:rFonts w:ascii="Times New Roman"/>
                <w:b w:val="false"/>
                <w:i w:val="false"/>
                <w:color w:val="000000"/>
                <w:sz w:val="20"/>
              </w:rPr>
              <w:t>при давлении за котлом 40 кгс/cм2 – 50;</w:t>
            </w:r>
            <w:r>
              <w:br/>
            </w:r>
            <w:r>
              <w:rPr>
                <w:rFonts w:ascii="Times New Roman"/>
                <w:b w:val="false"/>
                <w:i w:val="false"/>
                <w:color w:val="000000"/>
                <w:sz w:val="20"/>
              </w:rPr>
              <w:t>
</w:t>
            </w:r>
            <w:r>
              <w:rPr>
                <w:rFonts w:ascii="Times New Roman"/>
                <w:b w:val="false"/>
                <w:i w:val="false"/>
                <w:color w:val="000000"/>
                <w:sz w:val="20"/>
              </w:rPr>
              <w:t>при давлении за котлом 100 кгс/cм2 – 20;</w:t>
            </w:r>
            <w:r>
              <w:br/>
            </w:r>
            <w:r>
              <w:rPr>
                <w:rFonts w:ascii="Times New Roman"/>
                <w:b w:val="false"/>
                <w:i w:val="false"/>
                <w:color w:val="000000"/>
                <w:sz w:val="20"/>
              </w:rPr>
              <w:t>
</w:t>
            </w:r>
            <w:r>
              <w:rPr>
                <w:rFonts w:ascii="Times New Roman"/>
                <w:b w:val="false"/>
                <w:i w:val="false"/>
                <w:color w:val="000000"/>
                <w:sz w:val="20"/>
              </w:rPr>
              <w:t>при давлении за котлом 140 кгс/cм2 – 20;</w:t>
            </w:r>
            <w:r>
              <w:br/>
            </w:r>
            <w:r>
              <w:rPr>
                <w:rFonts w:ascii="Times New Roman"/>
                <w:b w:val="false"/>
                <w:i w:val="false"/>
                <w:color w:val="000000"/>
                <w:sz w:val="20"/>
              </w:rPr>
              <w:t>
</w:t>
            </w:r>
            <w:r>
              <w:rPr>
                <w:rFonts w:ascii="Times New Roman"/>
                <w:b w:val="false"/>
                <w:i w:val="false"/>
                <w:color w:val="000000"/>
                <w:sz w:val="20"/>
              </w:rPr>
              <w:t>- содержание соединений меди в воде перед деаэратором, мкг/дм3, не более:</w:t>
            </w:r>
            <w:r>
              <w:br/>
            </w:r>
            <w:r>
              <w:rPr>
                <w:rFonts w:ascii="Times New Roman"/>
                <w:b w:val="false"/>
                <w:i w:val="false"/>
                <w:color w:val="000000"/>
                <w:sz w:val="20"/>
              </w:rPr>
              <w:t>
</w:t>
            </w:r>
            <w:r>
              <w:rPr>
                <w:rFonts w:ascii="Times New Roman"/>
                <w:b w:val="false"/>
                <w:i w:val="false"/>
                <w:color w:val="000000"/>
                <w:sz w:val="20"/>
              </w:rPr>
              <w:t>при давлении за котлом 40 кгс/cм2 – 10;</w:t>
            </w:r>
            <w:r>
              <w:br/>
            </w:r>
            <w:r>
              <w:rPr>
                <w:rFonts w:ascii="Times New Roman"/>
                <w:b w:val="false"/>
                <w:i w:val="false"/>
                <w:color w:val="000000"/>
                <w:sz w:val="20"/>
              </w:rPr>
              <w:t>
</w:t>
            </w:r>
            <w:r>
              <w:rPr>
                <w:rFonts w:ascii="Times New Roman"/>
                <w:b w:val="false"/>
                <w:i w:val="false"/>
                <w:color w:val="000000"/>
                <w:sz w:val="20"/>
              </w:rPr>
              <w:t>при давлении за котлом 100 кгс/cм2 – 5;</w:t>
            </w:r>
            <w:r>
              <w:br/>
            </w:r>
            <w:r>
              <w:rPr>
                <w:rFonts w:ascii="Times New Roman"/>
                <w:b w:val="false"/>
                <w:i w:val="false"/>
                <w:color w:val="000000"/>
                <w:sz w:val="20"/>
              </w:rPr>
              <w:t>
</w:t>
            </w:r>
            <w:r>
              <w:rPr>
                <w:rFonts w:ascii="Times New Roman"/>
                <w:b w:val="false"/>
                <w:i w:val="false"/>
                <w:color w:val="000000"/>
                <w:sz w:val="20"/>
              </w:rPr>
              <w:t>при давлении за котлом 140 кгс/cм2 – 5;</w:t>
            </w:r>
            <w:r>
              <w:br/>
            </w:r>
            <w:r>
              <w:rPr>
                <w:rFonts w:ascii="Times New Roman"/>
                <w:b w:val="false"/>
                <w:i w:val="false"/>
                <w:color w:val="000000"/>
                <w:sz w:val="20"/>
              </w:rPr>
              <w:t>
</w:t>
            </w:r>
            <w:r>
              <w:rPr>
                <w:rFonts w:ascii="Times New Roman"/>
                <w:b w:val="false"/>
                <w:i w:val="false"/>
                <w:color w:val="000000"/>
                <w:sz w:val="20"/>
              </w:rPr>
              <w:t>- содержание растворенного кислорода в воде после деаэратора, мкг/дм3, не более:</w:t>
            </w:r>
            <w:r>
              <w:br/>
            </w:r>
            <w:r>
              <w:rPr>
                <w:rFonts w:ascii="Times New Roman"/>
                <w:b w:val="false"/>
                <w:i w:val="false"/>
                <w:color w:val="000000"/>
                <w:sz w:val="20"/>
              </w:rPr>
              <w:t>
</w:t>
            </w:r>
            <w:r>
              <w:rPr>
                <w:rFonts w:ascii="Times New Roman"/>
                <w:b w:val="false"/>
                <w:i w:val="false"/>
                <w:color w:val="000000"/>
                <w:sz w:val="20"/>
              </w:rPr>
              <w:t>при давлении за котлом 40 кгс/cм2 – 20;</w:t>
            </w:r>
            <w:r>
              <w:br/>
            </w:r>
            <w:r>
              <w:rPr>
                <w:rFonts w:ascii="Times New Roman"/>
                <w:b w:val="false"/>
                <w:i w:val="false"/>
                <w:color w:val="000000"/>
                <w:sz w:val="20"/>
              </w:rPr>
              <w:t>
</w:t>
            </w:r>
            <w:r>
              <w:rPr>
                <w:rFonts w:ascii="Times New Roman"/>
                <w:b w:val="false"/>
                <w:i w:val="false"/>
                <w:color w:val="000000"/>
                <w:sz w:val="20"/>
              </w:rPr>
              <w:t>при давлении за котлом 100 кгс/cм2 – 10;</w:t>
            </w:r>
            <w:r>
              <w:br/>
            </w:r>
            <w:r>
              <w:rPr>
                <w:rFonts w:ascii="Times New Roman"/>
                <w:b w:val="false"/>
                <w:i w:val="false"/>
                <w:color w:val="000000"/>
                <w:sz w:val="20"/>
              </w:rPr>
              <w:t>
</w:t>
            </w:r>
            <w:r>
              <w:rPr>
                <w:rFonts w:ascii="Times New Roman"/>
                <w:b w:val="false"/>
                <w:i w:val="false"/>
                <w:color w:val="000000"/>
                <w:sz w:val="20"/>
              </w:rPr>
              <w:t>при давлении за котлом 140 кгс/cм2 – 10;</w:t>
            </w:r>
            <w:r>
              <w:br/>
            </w:r>
            <w:r>
              <w:rPr>
                <w:rFonts w:ascii="Times New Roman"/>
                <w:b w:val="false"/>
                <w:i w:val="false"/>
                <w:color w:val="000000"/>
                <w:sz w:val="20"/>
              </w:rPr>
              <w:t>
</w:t>
            </w:r>
            <w:r>
              <w:rPr>
                <w:rFonts w:ascii="Times New Roman"/>
                <w:b w:val="false"/>
                <w:i w:val="false"/>
                <w:color w:val="000000"/>
                <w:sz w:val="20"/>
              </w:rPr>
              <w:t>- содержание нефтепродуктов, мг/дм3, не более:</w:t>
            </w:r>
            <w:r>
              <w:br/>
            </w:r>
            <w:r>
              <w:rPr>
                <w:rFonts w:ascii="Times New Roman"/>
                <w:b w:val="false"/>
                <w:i w:val="false"/>
                <w:color w:val="000000"/>
                <w:sz w:val="20"/>
              </w:rPr>
              <w:t>
</w:t>
            </w:r>
            <w:r>
              <w:rPr>
                <w:rFonts w:ascii="Times New Roman"/>
                <w:b w:val="false"/>
                <w:i w:val="false"/>
                <w:color w:val="000000"/>
                <w:sz w:val="20"/>
              </w:rPr>
              <w:t>при давлении за котлом 40 кгс/cм2 – 0,5;</w:t>
            </w:r>
            <w:r>
              <w:br/>
            </w:r>
            <w:r>
              <w:rPr>
                <w:rFonts w:ascii="Times New Roman"/>
                <w:b w:val="false"/>
                <w:i w:val="false"/>
                <w:color w:val="000000"/>
                <w:sz w:val="20"/>
              </w:rPr>
              <w:t>
</w:t>
            </w:r>
            <w:r>
              <w:rPr>
                <w:rFonts w:ascii="Times New Roman"/>
                <w:b w:val="false"/>
                <w:i w:val="false"/>
                <w:color w:val="000000"/>
                <w:sz w:val="20"/>
              </w:rPr>
              <w:t>при давлении за котлом 100 кгс/cм2 – 0,3;</w:t>
            </w:r>
            <w:r>
              <w:br/>
            </w:r>
            <w:r>
              <w:rPr>
                <w:rFonts w:ascii="Times New Roman"/>
                <w:b w:val="false"/>
                <w:i w:val="false"/>
                <w:color w:val="000000"/>
                <w:sz w:val="20"/>
              </w:rPr>
              <w:t>
</w:t>
            </w:r>
            <w:r>
              <w:rPr>
                <w:rFonts w:ascii="Times New Roman"/>
                <w:b w:val="false"/>
                <w:i w:val="false"/>
                <w:color w:val="000000"/>
                <w:sz w:val="20"/>
              </w:rPr>
              <w:t>при давлении за котлом 140 кгс/cм2 – 0,3;</w:t>
            </w:r>
            <w:r>
              <w:br/>
            </w:r>
            <w:r>
              <w:rPr>
                <w:rFonts w:ascii="Times New Roman"/>
                <w:b w:val="false"/>
                <w:i w:val="false"/>
                <w:color w:val="000000"/>
                <w:sz w:val="20"/>
              </w:rPr>
              <w:t>
</w:t>
            </w:r>
            <w:r>
              <w:rPr>
                <w:rFonts w:ascii="Times New Roman"/>
                <w:b w:val="false"/>
                <w:i w:val="false"/>
                <w:color w:val="000000"/>
                <w:sz w:val="20"/>
              </w:rPr>
              <w:t>- значение рН1:</w:t>
            </w:r>
            <w:r>
              <w:br/>
            </w:r>
            <w:r>
              <w:rPr>
                <w:rFonts w:ascii="Times New Roman"/>
                <w:b w:val="false"/>
                <w:i w:val="false"/>
                <w:color w:val="000000"/>
                <w:sz w:val="20"/>
              </w:rPr>
              <w:t>
</w:t>
            </w:r>
            <w:r>
              <w:rPr>
                <w:rFonts w:ascii="Times New Roman"/>
                <w:b w:val="false"/>
                <w:i w:val="false"/>
                <w:color w:val="000000"/>
                <w:sz w:val="20"/>
              </w:rPr>
              <w:t>при давлении за котлом 40 кгс/cм2 – 8,5-9,5;</w:t>
            </w:r>
            <w:r>
              <w:br/>
            </w:r>
            <w:r>
              <w:rPr>
                <w:rFonts w:ascii="Times New Roman"/>
                <w:b w:val="false"/>
                <w:i w:val="false"/>
                <w:color w:val="000000"/>
                <w:sz w:val="20"/>
              </w:rPr>
              <w:t>
</w:t>
            </w:r>
            <w:r>
              <w:rPr>
                <w:rFonts w:ascii="Times New Roman"/>
                <w:b w:val="false"/>
                <w:i w:val="false"/>
                <w:color w:val="000000"/>
                <w:sz w:val="20"/>
              </w:rPr>
              <w:t>при давлении за котлом 100 кгс/cм2 – 9,1;</w:t>
            </w:r>
            <w:r>
              <w:br/>
            </w:r>
            <w:r>
              <w:rPr>
                <w:rFonts w:ascii="Times New Roman"/>
                <w:b w:val="false"/>
                <w:i w:val="false"/>
                <w:color w:val="000000"/>
                <w:sz w:val="20"/>
              </w:rPr>
              <w:t>
при давлении за котлом 140 кгс/cм2 – 9,1.</w:t>
            </w:r>
          </w:p>
          <w:bookmarkEnd w:id="22"/>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23"/>
          <w:p>
            <w:pPr>
              <w:spacing w:after="20"/>
              <w:ind w:left="20"/>
              <w:jc w:val="both"/>
            </w:pPr>
            <w:r>
              <w:rPr>
                <w:rFonts w:ascii="Times New Roman"/>
                <w:b w:val="false"/>
                <w:i w:val="false"/>
                <w:color w:val="000000"/>
                <w:sz w:val="20"/>
              </w:rPr>
              <w:t>
Обеспечение соответствия качества питательной воды котлов с естественной циркуляцией на других видах топлива следующим нормам:</w:t>
            </w:r>
            <w:r>
              <w:br/>
            </w:r>
            <w:r>
              <w:rPr>
                <w:rFonts w:ascii="Times New Roman"/>
                <w:b w:val="false"/>
                <w:i w:val="false"/>
                <w:color w:val="000000"/>
                <w:sz w:val="20"/>
              </w:rPr>
              <w:t>
</w:t>
            </w:r>
            <w:r>
              <w:rPr>
                <w:rFonts w:ascii="Times New Roman"/>
                <w:b w:val="false"/>
                <w:i w:val="false"/>
                <w:color w:val="000000"/>
                <w:sz w:val="20"/>
              </w:rPr>
              <w:t>- общая жесткость, мкг-экв/дм3, не более:</w:t>
            </w:r>
            <w:r>
              <w:br/>
            </w:r>
            <w:r>
              <w:rPr>
                <w:rFonts w:ascii="Times New Roman"/>
                <w:b w:val="false"/>
                <w:i w:val="false"/>
                <w:color w:val="000000"/>
                <w:sz w:val="20"/>
              </w:rPr>
              <w:t>
</w:t>
            </w:r>
            <w:r>
              <w:rPr>
                <w:rFonts w:ascii="Times New Roman"/>
                <w:b w:val="false"/>
                <w:i w:val="false"/>
                <w:color w:val="000000"/>
                <w:sz w:val="20"/>
              </w:rPr>
              <w:t>при давлении за котлом 40 кгс/cм2 – 10;</w:t>
            </w:r>
            <w:r>
              <w:br/>
            </w:r>
            <w:r>
              <w:rPr>
                <w:rFonts w:ascii="Times New Roman"/>
                <w:b w:val="false"/>
                <w:i w:val="false"/>
                <w:color w:val="000000"/>
                <w:sz w:val="20"/>
              </w:rPr>
              <w:t>
</w:t>
            </w:r>
            <w:r>
              <w:rPr>
                <w:rFonts w:ascii="Times New Roman"/>
                <w:b w:val="false"/>
                <w:i w:val="false"/>
                <w:color w:val="000000"/>
                <w:sz w:val="20"/>
              </w:rPr>
              <w:t>при давлении за котлом 100 кгс/cм2 – 3;</w:t>
            </w:r>
            <w:r>
              <w:br/>
            </w:r>
            <w:r>
              <w:rPr>
                <w:rFonts w:ascii="Times New Roman"/>
                <w:b w:val="false"/>
                <w:i w:val="false"/>
                <w:color w:val="000000"/>
                <w:sz w:val="20"/>
              </w:rPr>
              <w:t>
</w:t>
            </w:r>
            <w:r>
              <w:rPr>
                <w:rFonts w:ascii="Times New Roman"/>
                <w:b w:val="false"/>
                <w:i w:val="false"/>
                <w:color w:val="000000"/>
                <w:sz w:val="20"/>
              </w:rPr>
              <w:t>при давлении за котлом 140 кгс/cм2 – 1;</w:t>
            </w:r>
            <w:r>
              <w:br/>
            </w:r>
            <w:r>
              <w:rPr>
                <w:rFonts w:ascii="Times New Roman"/>
                <w:b w:val="false"/>
                <w:i w:val="false"/>
                <w:color w:val="000000"/>
                <w:sz w:val="20"/>
              </w:rPr>
              <w:t>
</w:t>
            </w:r>
            <w:r>
              <w:rPr>
                <w:rFonts w:ascii="Times New Roman"/>
                <w:b w:val="false"/>
                <w:i w:val="false"/>
                <w:color w:val="000000"/>
                <w:sz w:val="20"/>
              </w:rPr>
              <w:t>- содержание соединений железа, мкг/дм3, не более:</w:t>
            </w:r>
            <w:r>
              <w:br/>
            </w:r>
            <w:r>
              <w:rPr>
                <w:rFonts w:ascii="Times New Roman"/>
                <w:b w:val="false"/>
                <w:i w:val="false"/>
                <w:color w:val="000000"/>
                <w:sz w:val="20"/>
              </w:rPr>
              <w:t>
</w:t>
            </w:r>
            <w:r>
              <w:rPr>
                <w:rFonts w:ascii="Times New Roman"/>
                <w:b w:val="false"/>
                <w:i w:val="false"/>
                <w:color w:val="000000"/>
                <w:sz w:val="20"/>
              </w:rPr>
              <w:t>при давлении за котлом 40 кгс/cм2 – 100;</w:t>
            </w:r>
            <w:r>
              <w:br/>
            </w:r>
            <w:r>
              <w:rPr>
                <w:rFonts w:ascii="Times New Roman"/>
                <w:b w:val="false"/>
                <w:i w:val="false"/>
                <w:color w:val="000000"/>
                <w:sz w:val="20"/>
              </w:rPr>
              <w:t>
</w:t>
            </w:r>
            <w:r>
              <w:rPr>
                <w:rFonts w:ascii="Times New Roman"/>
                <w:b w:val="false"/>
                <w:i w:val="false"/>
                <w:color w:val="000000"/>
                <w:sz w:val="20"/>
              </w:rPr>
              <w:t>при давлении за котлом 100 кгс/cм2 – 30;</w:t>
            </w:r>
            <w:r>
              <w:br/>
            </w:r>
            <w:r>
              <w:rPr>
                <w:rFonts w:ascii="Times New Roman"/>
                <w:b w:val="false"/>
                <w:i w:val="false"/>
                <w:color w:val="000000"/>
                <w:sz w:val="20"/>
              </w:rPr>
              <w:t>
</w:t>
            </w:r>
            <w:r>
              <w:rPr>
                <w:rFonts w:ascii="Times New Roman"/>
                <w:b w:val="false"/>
                <w:i w:val="false"/>
                <w:color w:val="000000"/>
                <w:sz w:val="20"/>
              </w:rPr>
              <w:t>при давлении за котлом 140 кгс/cм2 – 20;</w:t>
            </w:r>
            <w:r>
              <w:br/>
            </w:r>
            <w:r>
              <w:rPr>
                <w:rFonts w:ascii="Times New Roman"/>
                <w:b w:val="false"/>
                <w:i w:val="false"/>
                <w:color w:val="000000"/>
                <w:sz w:val="20"/>
              </w:rPr>
              <w:t>
</w:t>
            </w:r>
            <w:r>
              <w:rPr>
                <w:rFonts w:ascii="Times New Roman"/>
                <w:b w:val="false"/>
                <w:i w:val="false"/>
                <w:color w:val="000000"/>
                <w:sz w:val="20"/>
              </w:rPr>
              <w:t>- содержание соединений меди в воде перед деаэратором, мкг/дм 3, не более:</w:t>
            </w:r>
            <w:r>
              <w:br/>
            </w:r>
            <w:r>
              <w:rPr>
                <w:rFonts w:ascii="Times New Roman"/>
                <w:b w:val="false"/>
                <w:i w:val="false"/>
                <w:color w:val="000000"/>
                <w:sz w:val="20"/>
              </w:rPr>
              <w:t>
</w:t>
            </w:r>
            <w:r>
              <w:rPr>
                <w:rFonts w:ascii="Times New Roman"/>
                <w:b w:val="false"/>
                <w:i w:val="false"/>
                <w:color w:val="000000"/>
                <w:sz w:val="20"/>
              </w:rPr>
              <w:t>при давлении за котлом 40 кгс/cм2 – не нормируется;</w:t>
            </w:r>
            <w:r>
              <w:br/>
            </w:r>
            <w:r>
              <w:rPr>
                <w:rFonts w:ascii="Times New Roman"/>
                <w:b w:val="false"/>
                <w:i w:val="false"/>
                <w:color w:val="000000"/>
                <w:sz w:val="20"/>
              </w:rPr>
              <w:t>
</w:t>
            </w:r>
            <w:r>
              <w:rPr>
                <w:rFonts w:ascii="Times New Roman"/>
                <w:b w:val="false"/>
                <w:i w:val="false"/>
                <w:color w:val="000000"/>
                <w:sz w:val="20"/>
              </w:rPr>
              <w:t>при давлении за котлом 100 кгс/cм2 – 5;</w:t>
            </w:r>
            <w:r>
              <w:br/>
            </w:r>
            <w:r>
              <w:rPr>
                <w:rFonts w:ascii="Times New Roman"/>
                <w:b w:val="false"/>
                <w:i w:val="false"/>
                <w:color w:val="000000"/>
                <w:sz w:val="20"/>
              </w:rPr>
              <w:t>
</w:t>
            </w:r>
            <w:r>
              <w:rPr>
                <w:rFonts w:ascii="Times New Roman"/>
                <w:b w:val="false"/>
                <w:i w:val="false"/>
                <w:color w:val="000000"/>
                <w:sz w:val="20"/>
              </w:rPr>
              <w:t>при давлении за котлом 140 кгс/cм2 – 5;</w:t>
            </w:r>
            <w:r>
              <w:br/>
            </w:r>
            <w:r>
              <w:rPr>
                <w:rFonts w:ascii="Times New Roman"/>
                <w:b w:val="false"/>
                <w:i w:val="false"/>
                <w:color w:val="000000"/>
                <w:sz w:val="20"/>
              </w:rPr>
              <w:t>
</w:t>
            </w:r>
            <w:r>
              <w:rPr>
                <w:rFonts w:ascii="Times New Roman"/>
                <w:b w:val="false"/>
                <w:i w:val="false"/>
                <w:color w:val="000000"/>
                <w:sz w:val="20"/>
              </w:rPr>
              <w:t>- содержание растворенного кислорода в воде после деаэратора, мкг/дм3, не более:</w:t>
            </w:r>
            <w:r>
              <w:br/>
            </w:r>
            <w:r>
              <w:rPr>
                <w:rFonts w:ascii="Times New Roman"/>
                <w:b w:val="false"/>
                <w:i w:val="false"/>
                <w:color w:val="000000"/>
                <w:sz w:val="20"/>
              </w:rPr>
              <w:t>
</w:t>
            </w:r>
            <w:r>
              <w:rPr>
                <w:rFonts w:ascii="Times New Roman"/>
                <w:b w:val="false"/>
                <w:i w:val="false"/>
                <w:color w:val="000000"/>
                <w:sz w:val="20"/>
              </w:rPr>
              <w:t>при давлении за котлом 40 кгс/cм2 – 20;</w:t>
            </w:r>
            <w:r>
              <w:br/>
            </w:r>
            <w:r>
              <w:rPr>
                <w:rFonts w:ascii="Times New Roman"/>
                <w:b w:val="false"/>
                <w:i w:val="false"/>
                <w:color w:val="000000"/>
                <w:sz w:val="20"/>
              </w:rPr>
              <w:t>
</w:t>
            </w:r>
            <w:r>
              <w:rPr>
                <w:rFonts w:ascii="Times New Roman"/>
                <w:b w:val="false"/>
                <w:i w:val="false"/>
                <w:color w:val="000000"/>
                <w:sz w:val="20"/>
              </w:rPr>
              <w:t>при давлении за котлом 100 кгс/cм2 – 10;</w:t>
            </w:r>
            <w:r>
              <w:br/>
            </w:r>
            <w:r>
              <w:rPr>
                <w:rFonts w:ascii="Times New Roman"/>
                <w:b w:val="false"/>
                <w:i w:val="false"/>
                <w:color w:val="000000"/>
                <w:sz w:val="20"/>
              </w:rPr>
              <w:t>
</w:t>
            </w:r>
            <w:r>
              <w:rPr>
                <w:rFonts w:ascii="Times New Roman"/>
                <w:b w:val="false"/>
                <w:i w:val="false"/>
                <w:color w:val="000000"/>
                <w:sz w:val="20"/>
              </w:rPr>
              <w:t>при давлении за котлом 140 кгс/cм2 – 10;</w:t>
            </w:r>
            <w:r>
              <w:br/>
            </w:r>
            <w:r>
              <w:rPr>
                <w:rFonts w:ascii="Times New Roman"/>
                <w:b w:val="false"/>
                <w:i w:val="false"/>
                <w:color w:val="000000"/>
                <w:sz w:val="20"/>
              </w:rPr>
              <w:t>
</w:t>
            </w:r>
            <w:r>
              <w:rPr>
                <w:rFonts w:ascii="Times New Roman"/>
                <w:b w:val="false"/>
                <w:i w:val="false"/>
                <w:color w:val="000000"/>
                <w:sz w:val="20"/>
              </w:rPr>
              <w:t>- содержание нефтепродуктов, мг/дм3, не более:</w:t>
            </w:r>
            <w:r>
              <w:br/>
            </w:r>
            <w:r>
              <w:rPr>
                <w:rFonts w:ascii="Times New Roman"/>
                <w:b w:val="false"/>
                <w:i w:val="false"/>
                <w:color w:val="000000"/>
                <w:sz w:val="20"/>
              </w:rPr>
              <w:t>
</w:t>
            </w:r>
            <w:r>
              <w:rPr>
                <w:rFonts w:ascii="Times New Roman"/>
                <w:b w:val="false"/>
                <w:i w:val="false"/>
                <w:color w:val="000000"/>
                <w:sz w:val="20"/>
              </w:rPr>
              <w:t>при давлении за котлом 40 кгс/cм2 – 0,5;</w:t>
            </w:r>
            <w:r>
              <w:br/>
            </w:r>
            <w:r>
              <w:rPr>
                <w:rFonts w:ascii="Times New Roman"/>
                <w:b w:val="false"/>
                <w:i w:val="false"/>
                <w:color w:val="000000"/>
                <w:sz w:val="20"/>
              </w:rPr>
              <w:t>
</w:t>
            </w:r>
            <w:r>
              <w:rPr>
                <w:rFonts w:ascii="Times New Roman"/>
                <w:b w:val="false"/>
                <w:i w:val="false"/>
                <w:color w:val="000000"/>
                <w:sz w:val="20"/>
              </w:rPr>
              <w:t>при давлении за котлом 100 кгс/cм2 – 0,3;</w:t>
            </w:r>
            <w:r>
              <w:br/>
            </w:r>
            <w:r>
              <w:rPr>
                <w:rFonts w:ascii="Times New Roman"/>
                <w:b w:val="false"/>
                <w:i w:val="false"/>
                <w:color w:val="000000"/>
                <w:sz w:val="20"/>
              </w:rPr>
              <w:t>
</w:t>
            </w:r>
            <w:r>
              <w:rPr>
                <w:rFonts w:ascii="Times New Roman"/>
                <w:b w:val="false"/>
                <w:i w:val="false"/>
                <w:color w:val="000000"/>
                <w:sz w:val="20"/>
              </w:rPr>
              <w:t>при давлении за котлом 140 кгс/cм2 – 0,3;</w:t>
            </w:r>
            <w:r>
              <w:br/>
            </w:r>
            <w:r>
              <w:rPr>
                <w:rFonts w:ascii="Times New Roman"/>
                <w:b w:val="false"/>
                <w:i w:val="false"/>
                <w:color w:val="000000"/>
                <w:sz w:val="20"/>
              </w:rPr>
              <w:t>
</w:t>
            </w:r>
            <w:r>
              <w:rPr>
                <w:rFonts w:ascii="Times New Roman"/>
                <w:b w:val="false"/>
                <w:i w:val="false"/>
                <w:color w:val="000000"/>
                <w:sz w:val="20"/>
              </w:rPr>
              <w:t>- значение рН1:</w:t>
            </w:r>
            <w:r>
              <w:br/>
            </w:r>
            <w:r>
              <w:rPr>
                <w:rFonts w:ascii="Times New Roman"/>
                <w:b w:val="false"/>
                <w:i w:val="false"/>
                <w:color w:val="000000"/>
                <w:sz w:val="20"/>
              </w:rPr>
              <w:t>
</w:t>
            </w:r>
            <w:r>
              <w:rPr>
                <w:rFonts w:ascii="Times New Roman"/>
                <w:b w:val="false"/>
                <w:i w:val="false"/>
                <w:color w:val="000000"/>
                <w:sz w:val="20"/>
              </w:rPr>
              <w:t>при давлении за котлом 40 кгс/cм2 – 8,5-9,5;</w:t>
            </w:r>
            <w:r>
              <w:br/>
            </w:r>
            <w:r>
              <w:rPr>
                <w:rFonts w:ascii="Times New Roman"/>
                <w:b w:val="false"/>
                <w:i w:val="false"/>
                <w:color w:val="000000"/>
                <w:sz w:val="20"/>
              </w:rPr>
              <w:t>
</w:t>
            </w:r>
            <w:r>
              <w:rPr>
                <w:rFonts w:ascii="Times New Roman"/>
                <w:b w:val="false"/>
                <w:i w:val="false"/>
                <w:color w:val="000000"/>
                <w:sz w:val="20"/>
              </w:rPr>
              <w:t>при давлении за котлом 100 кгс/cм2 – 9,1;</w:t>
            </w:r>
            <w:r>
              <w:br/>
            </w:r>
            <w:r>
              <w:rPr>
                <w:rFonts w:ascii="Times New Roman"/>
                <w:b w:val="false"/>
                <w:i w:val="false"/>
                <w:color w:val="000000"/>
                <w:sz w:val="20"/>
              </w:rPr>
              <w:t>
при давлении за котлом 140 кгс/cм2 – 9,1.</w:t>
            </w:r>
          </w:p>
          <w:bookmarkEnd w:id="23"/>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24"/>
          <w:p>
            <w:pPr>
              <w:spacing w:after="20"/>
              <w:ind w:left="20"/>
              <w:jc w:val="both"/>
            </w:pPr>
            <w:r>
              <w:rPr>
                <w:rFonts w:ascii="Times New Roman"/>
                <w:b w:val="false"/>
                <w:i w:val="false"/>
                <w:color w:val="000000"/>
                <w:sz w:val="20"/>
              </w:rPr>
              <w:t>
Обеспечение соответствия качества конденсата турбин после конденсатных насосов первой ступени электростанций с прямоточными котлами давлением 140-255 кгс/см2 (13,8-25 МПа) следующим нормам, не более:</w:t>
            </w:r>
            <w:r>
              <w:br/>
            </w:r>
            <w:r>
              <w:rPr>
                <w:rFonts w:ascii="Times New Roman"/>
                <w:b w:val="false"/>
                <w:i w:val="false"/>
                <w:color w:val="000000"/>
                <w:sz w:val="20"/>
              </w:rPr>
              <w:t>
</w:t>
            </w:r>
            <w:r>
              <w:rPr>
                <w:rFonts w:ascii="Times New Roman"/>
                <w:b w:val="false"/>
                <w:i w:val="false"/>
                <w:color w:val="000000"/>
                <w:sz w:val="20"/>
              </w:rPr>
              <w:t>1) общая жесткость 0,5 мкг-экв/дм3, при очистке 100 % конденсата, выходящего из конденсатосборника турбины, производится временное повышение указанной нормы на срок не более 4 суток при условии соблюдения норм качества питательной воды;</w:t>
            </w:r>
            <w:r>
              <w:br/>
            </w:r>
            <w:r>
              <w:rPr>
                <w:rFonts w:ascii="Times New Roman"/>
                <w:b w:val="false"/>
                <w:i w:val="false"/>
                <w:color w:val="000000"/>
                <w:sz w:val="20"/>
              </w:rPr>
              <w:t>
</w:t>
            </w:r>
            <w:r>
              <w:rPr>
                <w:rFonts w:ascii="Times New Roman"/>
                <w:b w:val="false"/>
                <w:i w:val="false"/>
                <w:color w:val="000000"/>
                <w:sz w:val="20"/>
              </w:rPr>
              <w:t>2) удельная электрическая проводимость 0,5 мкСм/см;</w:t>
            </w:r>
            <w:r>
              <w:br/>
            </w:r>
            <w:r>
              <w:rPr>
                <w:rFonts w:ascii="Times New Roman"/>
                <w:b w:val="false"/>
                <w:i w:val="false"/>
                <w:color w:val="000000"/>
                <w:sz w:val="20"/>
              </w:rPr>
              <w:t>
3) содержание растворенного кислорода после конденсатных насосов 20 мкг/дм3.</w:t>
            </w:r>
          </w:p>
          <w:bookmarkEnd w:id="24"/>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25"/>
          <w:p>
            <w:pPr>
              <w:spacing w:after="20"/>
              <w:ind w:left="20"/>
              <w:jc w:val="both"/>
            </w:pPr>
            <w:r>
              <w:rPr>
                <w:rFonts w:ascii="Times New Roman"/>
                <w:b w:val="false"/>
                <w:i w:val="false"/>
                <w:color w:val="000000"/>
                <w:sz w:val="20"/>
              </w:rPr>
              <w:t>
Обеспечение соответствия качества дистиллята испарителей, предназначенных для восполнения потерь пара и конденсата, следующим нормам:</w:t>
            </w:r>
            <w:r>
              <w:br/>
            </w:r>
            <w:r>
              <w:rPr>
                <w:rFonts w:ascii="Times New Roman"/>
                <w:b w:val="false"/>
                <w:i w:val="false"/>
                <w:color w:val="000000"/>
                <w:sz w:val="20"/>
              </w:rPr>
              <w:t>
</w:t>
            </w:r>
            <w:r>
              <w:rPr>
                <w:rFonts w:ascii="Times New Roman"/>
                <w:b w:val="false"/>
                <w:i w:val="false"/>
                <w:color w:val="000000"/>
                <w:sz w:val="20"/>
              </w:rPr>
              <w:t>1) содержание соединений натрия – не более 100 мкг/дм3;</w:t>
            </w:r>
            <w:r>
              <w:br/>
            </w:r>
            <w:r>
              <w:rPr>
                <w:rFonts w:ascii="Times New Roman"/>
                <w:b w:val="false"/>
                <w:i w:val="false"/>
                <w:color w:val="000000"/>
                <w:sz w:val="20"/>
              </w:rPr>
              <w:t>
2) свободной угольной кислоты – не более 2 мг/дм3.</w:t>
            </w:r>
          </w:p>
          <w:bookmarkEnd w:id="25"/>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26"/>
          <w:p>
            <w:pPr>
              <w:spacing w:after="20"/>
              <w:ind w:left="20"/>
              <w:jc w:val="both"/>
            </w:pPr>
            <w:r>
              <w:rPr>
                <w:rFonts w:ascii="Times New Roman"/>
                <w:b w:val="false"/>
                <w:i w:val="false"/>
                <w:color w:val="000000"/>
                <w:sz w:val="20"/>
              </w:rPr>
              <w:t>
Обеспечение соответствия качества питательной воды испарителей, предназначенных для восполнения потерь пара и конденсата, следующим нормам:</w:t>
            </w:r>
            <w:r>
              <w:br/>
            </w:r>
            <w:r>
              <w:rPr>
                <w:rFonts w:ascii="Times New Roman"/>
                <w:b w:val="false"/>
                <w:i w:val="false"/>
                <w:color w:val="000000"/>
                <w:sz w:val="20"/>
              </w:rPr>
              <w:t>
</w:t>
            </w:r>
            <w:r>
              <w:rPr>
                <w:rFonts w:ascii="Times New Roman"/>
                <w:b w:val="false"/>
                <w:i w:val="false"/>
                <w:color w:val="000000"/>
                <w:sz w:val="20"/>
              </w:rPr>
              <w:t>- общая жесткость, мкг-экв/дм3, не более 30;</w:t>
            </w:r>
            <w:r>
              <w:br/>
            </w:r>
            <w:r>
              <w:rPr>
                <w:rFonts w:ascii="Times New Roman"/>
                <w:b w:val="false"/>
                <w:i w:val="false"/>
                <w:color w:val="000000"/>
                <w:sz w:val="20"/>
              </w:rPr>
              <w:t>
</w:t>
            </w:r>
            <w:r>
              <w:rPr>
                <w:rFonts w:ascii="Times New Roman"/>
                <w:b w:val="false"/>
                <w:i w:val="false"/>
                <w:color w:val="000000"/>
                <w:sz w:val="20"/>
              </w:rPr>
              <w:t>- общая жесткость при солесодержании исходной воды более 2000 мг/дм3, мкг-экв/дм3, не более 75;</w:t>
            </w:r>
            <w:r>
              <w:br/>
            </w:r>
            <w:r>
              <w:rPr>
                <w:rFonts w:ascii="Times New Roman"/>
                <w:b w:val="false"/>
                <w:i w:val="false"/>
                <w:color w:val="000000"/>
                <w:sz w:val="20"/>
              </w:rPr>
              <w:t>
</w:t>
            </w:r>
            <w:r>
              <w:rPr>
                <w:rFonts w:ascii="Times New Roman"/>
                <w:b w:val="false"/>
                <w:i w:val="false"/>
                <w:color w:val="000000"/>
                <w:sz w:val="20"/>
              </w:rPr>
              <w:t>- содержание кислорода, мкг/дм3, не более 30;</w:t>
            </w:r>
            <w:r>
              <w:br/>
            </w:r>
            <w:r>
              <w:rPr>
                <w:rFonts w:ascii="Times New Roman"/>
                <w:b w:val="false"/>
                <w:i w:val="false"/>
                <w:color w:val="000000"/>
                <w:sz w:val="20"/>
              </w:rPr>
              <w:t>
- содержание свободной угольной кислоты 0.</w:t>
            </w:r>
          </w:p>
          <w:bookmarkEnd w:id="26"/>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27"/>
          <w:p>
            <w:pPr>
              <w:spacing w:after="20"/>
              <w:ind w:left="20"/>
              <w:jc w:val="both"/>
            </w:pPr>
            <w:r>
              <w:rPr>
                <w:rFonts w:ascii="Times New Roman"/>
                <w:b w:val="false"/>
                <w:i w:val="false"/>
                <w:color w:val="000000"/>
                <w:sz w:val="20"/>
              </w:rPr>
              <w:t xml:space="preserve">
Обеспечение соответствия величины внутристанционных потерь пара и конденсата (без учета потерь при работе форсунок, продувках и обдувках котлов, водных отмывках, обслуживании установок для очистки конденсата, деаэрации добавочной воды теплосети, разгрузке мазута) следующим нормам, при номинальной производительности работающих котлов не более, % общего расхода питательной воды. </w:t>
            </w:r>
            <w:r>
              <w:br/>
            </w:r>
            <w:r>
              <w:rPr>
                <w:rFonts w:ascii="Times New Roman"/>
                <w:b w:val="false"/>
                <w:i w:val="false"/>
                <w:color w:val="000000"/>
                <w:sz w:val="20"/>
              </w:rPr>
              <w:t>
</w:t>
            </w:r>
            <w:r>
              <w:rPr>
                <w:rFonts w:ascii="Times New Roman"/>
                <w:b w:val="false"/>
                <w:i w:val="false"/>
                <w:color w:val="000000"/>
                <w:sz w:val="20"/>
              </w:rPr>
              <w:t>На конденсационных электростанциях – не более 1,0;</w:t>
            </w:r>
            <w:r>
              <w:br/>
            </w:r>
            <w:r>
              <w:rPr>
                <w:rFonts w:ascii="Times New Roman"/>
                <w:b w:val="false"/>
                <w:i w:val="false"/>
                <w:color w:val="000000"/>
                <w:sz w:val="20"/>
              </w:rPr>
              <w:t>
</w:t>
            </w:r>
            <w:r>
              <w:rPr>
                <w:rFonts w:ascii="Times New Roman"/>
                <w:b w:val="false"/>
                <w:i w:val="false"/>
                <w:color w:val="000000"/>
                <w:sz w:val="20"/>
              </w:rPr>
              <w:t>На теплоэлектроцентралях с чисто отопительной нагрузкой – не более 1,2;</w:t>
            </w:r>
            <w:r>
              <w:br/>
            </w:r>
            <w:r>
              <w:rPr>
                <w:rFonts w:ascii="Times New Roman"/>
                <w:b w:val="false"/>
                <w:i w:val="false"/>
                <w:color w:val="000000"/>
                <w:sz w:val="20"/>
              </w:rPr>
              <w:t>
На теплоэлектроцентралях с производственной или производственной отопительной нагрузками – не более 1,6.</w:t>
            </w:r>
          </w:p>
          <w:bookmarkEnd w:id="27"/>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выполнении ремонта и замены оборудования систем золошлакоудаления, составленному на основе опыта эксплуатации систем золо- и шлакоудаления.</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наличия проекта создания новой емкости золоотвала не менее чем за 3 года до окончания заполнения существующего золоотвала.</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задания диспетчера тепловой сети поддержания режима работы теплофикационной установки (давление в подающем и обратном трубопроводах и температура в подающем трубопроводе). Отклонения от заданного режима за головной задвижкой электростанции обеспечиваются на уровне не более: по температуре воды, поступающей в тепловую сеть, ±3 %; по давлению в подающем трубопроводе ±5 %, по давлению в обратном трубопроводе ±0,2 кгс/см2 (± 20 кПа).</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инструкций на ремонт оборудования, утвержденного техническим руководителем, в которой установлена периодичность и продолжительность всех видов ремонта данного оборудования.</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графика расчетных удельных расходов топлива и воды на отпущенную электроэнергию и тепло по каждой группе оборудования электростанции 1 раз в 5 лет, а также вследствие технического перевооружения и реконструкции тепловых электростанций, изменения вида или марки сжигаемого топлива фактических удельных расходов топлива на отпуск электроэнергии и тепла изменились более чем на 2 и 1 % соответственно.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таблички на основном и вспомогательном оборудовании электростанций с номинальными данными согласно инструкции завода-изготовителя на это оборудование.</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нумерации на основном и вспомогательном оборудований, в том числе трубопроводах, системах и секции шин, а также на арматуре, шибере газо и воздухопроводах, при наличии избирательной системы управления (далее – ИСУ) наличие двойной нумерации арматуры по месту и на исполнительных схемах с указанием номера, соответствующего оперативной схеме, и номера по ИСУ.</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инструкциях, схемах и чертежах всех изменений в энергоустановках, выполненных в процессе эксплуатации и внесенных за подписью контролирующего лица с указанием его должности и даты внесения изменения.</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конкретного перечня средств измерений, подлежащих поверке, утвержденного техническим руководителем энергообъекта.</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разработанных мероприятий по предотвращению аварийных и залповых выбросов и сбросов, загрязняющих веществ в окружающую среду.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указателей, на поверхности земли, скрытых под землей коммуникации водопровода, канализации, теплофикации, а также газопроводов, воздухопроводов, кабелей на закрытых территориях.</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табличек с предельными нагрузками для каждого участка перекрытий, определенных на основе проектных данных и установленные на видных местах.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от скопления пыли в помещениях и на оборудований.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знаков с надписями на осях основных гидротехнических сооружений на местности, а также наличие связи с базисными реперами.</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назначенных на электростанциях паводковых комиссий, ежегодно до наступления весеннего половодья, а в отдельных случаях также и летне-осеннего паводка.</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затворов обеспеченных водонепроницаемостью, правильной посадкой их на порог и плотным прилеганием к опорному контуру, а также отсутствие перекосов и недопустимых деформаций затворов при работе под напором.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регулярного очищения сороудерживающих конструкций (решетки, сетки, запани) от сора.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каждой электростанции установленных предельных по условиям прочности и экономичности значений перепада уровней на сороудерживающих решетках.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водохозяйственного плана для гидроэлектростанций с водохранилищем комплексного пользования, устанавливающего помесячные объемы использования воды различными водопользователями.</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очистки конструкции оросителей градирен от минеральных и органических отложений.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специальных размораживающих устройств, механических рыхлителей, вагонных вибраторов и прочих механизмов, облегчающих выгрузку топлива, особенно смерзшегося, и очистку железнодорожных вагонов.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резервных механизмов и оборудования (вагоноопрокидыватели, нитки системы конвейеров, дробилки) работающих поочередно.</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обводнения жидкого топлива при его сливе, хранении и подаче на сжигание.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составленных паспортов на каждый газопровод и оборудование газораспределительного пункта (далее – ГРП), содержащие основные данные, характеризующие газопровод, помещение ГРП, оборудование и контрольно-измерительные приборы, а также сведения о выполняемом ремонте.</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газоопасных работ и инструкций, составленных и утвержденных техническим руководителем энергообъекта, определяющие порядок подготовки и безопасность их проведения применительно к конкретным производственным условиям.</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Назначение лиц, выдающих наряды на газоопасные работы, приказом по энергообъекту.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пуска и эксплуатации пылеприготовительных установок с неисправными системами сигнализации, защит и блокировок.</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технологических защит, действующих на отключение оборудования, снабженных средствами, фиксирующими первопричину их срабатывания, а также эксплуатация средств, фиксирующих первопричину срабатывания защиты, включая регистраторы событий, в течение всего времени работы защищаемого оборудования.</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 ответственных за исправное состояние и безопасную эксплуатацию трубопроводов, назначенных из числа инженерно-технических работников (начальников цехов и служб) распоряжением администрации энергообъекта.</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регулирующих клапанов снабженных указателями степени открытия регулирующего органа оборудования, а запорная арматура – указателями "Открыто" и "Закрыто".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в эксплуатацию котла с неработающей золоулавливающей установкой.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использования бункеров золоулавливающих установок для накопления уловленной золы.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электродвигателях и приводимых ими механизмах стрелок, указывающих направление вращения.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электродвигателях и их пусковых устройствах надписей с наименованием агрегата, к которому они относятся.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баках трансформаторов и реакторов наружной установки станционных (подстанционных) номеров, а также наличие таких же номеров на двери и внутренней поверхности трансформаторных пунктов и камер.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расцветки фазы на баках однофазного трансформатора и реактора.</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дверях и внутренних стенках камер закрытых распределительных устройств, оборудования открытых распределительных устройств, наружных и внутренних лицевых частях комплектного распределительного устройства, сборках, а также на лицевой и оборотной сторонах панелей щитов надписей, указывающих назначение присоединений и их диспетчерское наименование.</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дверях распределительных устройств предупреждающих знаков по применению и испытанию средств защиты, используемых в электроустановках.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предохранительных щитках и (или) у предохранителей присоединений надписи, указывающей номинальный ток плавкой вставки.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обозначения расцветки фаз на металлических частях корпусов оборудования.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приводах разъединителей, заземляющих ножей, отделителей, короткозамыкателей отделенных от аппаратов стенкой, указателей отключенного и включенного положений.</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Подержание температуры в помещении аккумуляторной батареи не ниже 10 0С, при этом на подстанциях без постоянного дежурства персонала и в случаях, если емкость батареи выбрана и рассчитана с учетом понижения температуры, допускается понижение температуры до 5 0С.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дверях помещения аккумуляторной батареи надписи "Аккумуляторная", "Огнеопасно", "Запрещается курить" и соответствующих знаков безопасности о недопущении пользоваться открытым огнем и курить.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графика осмотра аккумуляторных батарей по графику, утвержденному техническим руководителем энергообъекта.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каждой аккумуляторной установке журнала с записями об осмотре и объемах проведенных работ.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паспорта для каждой кабельной линии с указанием основных данных по линии.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открыто проложенных кабелях, а также на всех кабельных муфтах бирок с обозначениями; на бирках кабелей в конце и начале линии указываются марки, напряжения, сечения, номера или наименования линии; на бирках соединительных муфт – номер муфты, дата монтажа, а также расположение бирок по длине линии, через 50 м на открыто проложенных кабелях, а также на поворотах трассы и в местах прохода кабелей через огнестойкие перегородки и перекрытия (с обеих сторон).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журнале дефектов и неполадок, о выявленных нарушениях на кабельных линиях при осмотрах.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заземления или зануления кабелей с металлическими оболочками или броней, а также кабельных конструкций, на которых проложены кабели.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28"/>
          <w:p>
            <w:pPr>
              <w:spacing w:after="20"/>
              <w:ind w:left="20"/>
              <w:jc w:val="both"/>
            </w:pPr>
            <w:r>
              <w:rPr>
                <w:rFonts w:ascii="Times New Roman"/>
                <w:b w:val="false"/>
                <w:i w:val="false"/>
                <w:color w:val="000000"/>
                <w:sz w:val="20"/>
              </w:rPr>
              <w:t>
Наличие на все энергетические масла отечественного и зарубежного производства (турбинные, электроизоляционные, компрессорные, индустриальные и др.), принятые на энергопредприятие от поставщиков:</w:t>
            </w:r>
            <w:r>
              <w:br/>
            </w:r>
            <w:r>
              <w:rPr>
                <w:rFonts w:ascii="Times New Roman"/>
                <w:b w:val="false"/>
                <w:i w:val="false"/>
                <w:color w:val="000000"/>
                <w:sz w:val="20"/>
              </w:rPr>
              <w:t>
</w:t>
            </w:r>
            <w:r>
              <w:rPr>
                <w:rFonts w:ascii="Times New Roman"/>
                <w:b w:val="false"/>
                <w:i w:val="false"/>
                <w:color w:val="000000"/>
                <w:sz w:val="20"/>
              </w:rPr>
              <w:t>1) сертификатов качества или паспорта и прошедшие лабораторный анализ в целях определения их соответствия требованиям стандарта (государственный стандарт или технические условия);</w:t>
            </w:r>
            <w:r>
              <w:br/>
            </w:r>
            <w:r>
              <w:rPr>
                <w:rFonts w:ascii="Times New Roman"/>
                <w:b w:val="false"/>
                <w:i w:val="false"/>
                <w:color w:val="000000"/>
                <w:sz w:val="20"/>
              </w:rPr>
              <w:t>
</w:t>
            </w:r>
            <w:r>
              <w:rPr>
                <w:rFonts w:ascii="Times New Roman"/>
                <w:b w:val="false"/>
                <w:i w:val="false"/>
                <w:color w:val="000000"/>
                <w:sz w:val="20"/>
              </w:rPr>
              <w:t>2) сертификатов качества (паспорта или протоколы испытаний), подтверждающие отсутствие стойких органических загрязнителей полихлордифенилов, полихлорбифенилов на каждую поставляемую партию энергетического масла;</w:t>
            </w:r>
            <w:r>
              <w:br/>
            </w:r>
            <w:r>
              <w:rPr>
                <w:rFonts w:ascii="Times New Roman"/>
                <w:b w:val="false"/>
                <w:i w:val="false"/>
                <w:color w:val="000000"/>
                <w:sz w:val="20"/>
              </w:rPr>
              <w:t>
3) паспорта безопасности энергетического масла.</w:t>
            </w:r>
          </w:p>
          <w:bookmarkEnd w:id="28"/>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электростанциях постоянного запаса нефтяного турбинного масла в количестве, равном (или более) вместимости масляной системы самого крупного агрегата, и запаса на доливки не менее 45-дневной потребности.</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постоянного запаса огнестойкого турбинного масла на уровне не менее годовой потребности его на доливки для одного турбоагрегата.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каждой электростанции постоянного запаса смазочных материалов для вспомогательного оборудования не менее 45-дневной потребности.</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графика тепловой нагрузки для каждой теплоэлектроцентрали и других теплоисточников, составленных диспетчерской службой тепловой сети и утвержденных главным диспетчером (начальником диспетчерской службы) тепловой сети.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автоматической фиксации оперативных переговоров на всех уровнях диспетчерского управления и оперативных переговоров начальников смен электростанций и крупных подстанций на записывающее устройство.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местах прохода (пересечения) проводов и кабелей через панели металлических гильз.</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в помещениях и коридорах закрытых распределительных устройств наличия кладовых подсобных сооружений, не относящиеся к распределительному устройству, а также хранение электротехнического оборудования, материалов, запасных частей, емкостей с горючими жидкостями и баллонов с различными газами.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кабельных каналов закрытых распределительных устройств и наземных кабельных лотков, открытых распределительных устройств, закрытых плитами.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кабельных сооружениях не реже, чем через 50 м, указателей ближайшего выхода.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суточных графиков, на основании которых организуется управление балансом мощности в Единой энергетической системе (далее – ЕЭС) Казахстана, при этом электростанции выполняют заданный суточный график нагрузки и вращающегося резерва, а пользователи сети не превышают свой заявленный почасовой график потребления активной мощности.</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каналов связи и передачи данных телеметрии на диспетчерский центр системного оператора по двум независимым направлениям энергопроизводящих организаций с установленной мощностью свыше 10 МВт.</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окрашивания в красный систем трубопроводов и запорной арматуры установки пожаротушения трансформаторов и масляных реакторов.</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учета работ технического обслуживания по видам оборудования, зданиям и сооружениям электростанции.</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программы вывода в ремонт оборудования энергопроизводящей организации.</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ведомости параметров технического состояния оборудования по утвержденным формам, по результатам ремонта оборудования энергопроизводящей организации.</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Комитет атомного и энергетического надзора и контроля в течение 15 календарных дней со дня принятия (увольнения) информации о вновь принятых/уволенных руководителях, подлежащих квалификационной проверке в государственном органе.</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 </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руководителем годового плана работы с персоналом.</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ежегодного приказа с 1 августа о создании комиссии организации по оценке готовности к работе в осенне-зимний период.</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29"/>
          <w:p>
            <w:pPr>
              <w:spacing w:after="20"/>
              <w:ind w:left="20"/>
              <w:jc w:val="both"/>
            </w:pPr>
            <w:r>
              <w:rPr>
                <w:rFonts w:ascii="Times New Roman"/>
                <w:b w:val="false"/>
                <w:i w:val="false"/>
                <w:color w:val="000000"/>
                <w:sz w:val="20"/>
              </w:rPr>
              <w:t xml:space="preserve">
Наличие разработанных энергетических характеристик оборудования, устанавливающих зависимость технико-экономических показателей его работы в абсолютном или относительном исчислении от электрических и тепловых нагрузок. </w:t>
            </w:r>
            <w:r>
              <w:br/>
            </w:r>
            <w:r>
              <w:rPr>
                <w:rFonts w:ascii="Times New Roman"/>
                <w:b w:val="false"/>
                <w:i w:val="false"/>
                <w:color w:val="000000"/>
                <w:sz w:val="20"/>
              </w:rPr>
              <w:t>
Разработанные графики исходно-номинальных удельных расходов топлива на отпущенную электрическую и тепловую энергию, а на гидроэлектростанции – нормативных удельных расходов воды на отпущенную электрическую энергию.</w:t>
            </w:r>
          </w:p>
          <w:bookmarkEnd w:id="29"/>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решения руководителя организации о назначении сотруднику внеочередной квалификационной проверки знаний за неисполнение должностных обязанностей по занимаемой должности в течение срока более шести месяцев.</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ежегодного приказа руководителя о создании центральной комиссии по квалификационной проверке знаний.</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4"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Субъективных критериях</w:t>
      </w:r>
      <w:r>
        <w:rPr>
          <w:rFonts w:ascii="Times New Roman"/>
          <w:b w:val="false"/>
          <w:i w:val="false"/>
          <w:color w:val="000000"/>
          <w:sz w:val="28"/>
        </w:rPr>
        <w:t xml:space="preserve"> оценки степени риска в отношении энергопередающих организаций:</w:t>
      </w:r>
    </w:p>
    <w:bookmarkEnd w:id="30"/>
    <w:bookmarkStart w:name="z145" w:id="31"/>
    <w:p>
      <w:pPr>
        <w:spacing w:after="0"/>
        <w:ind w:left="0"/>
        <w:jc w:val="both"/>
      </w:pPr>
      <w:r>
        <w:rPr>
          <w:rFonts w:ascii="Times New Roman"/>
          <w:b w:val="false"/>
          <w:i w:val="false"/>
          <w:color w:val="000000"/>
          <w:sz w:val="28"/>
        </w:rPr>
        <w:t>
      раздел Результаты мониторинга отчетности и сведений, представляемых субъектом (объектом) контроля дополнить строками, порядковые номера 13, 14, 15, 16, 17, 18, 19, 20, 21 и 22, следующего содержания:</w:t>
      </w:r>
    </w:p>
    <w:bookmarkEnd w:id="31"/>
    <w:bookmarkStart w:name="z146"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10516"/>
        <w:gridCol w:w="397"/>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сроков проведения расследования технологических нарушений (начинается не позднее трех суток с момента возникновения технологического нарушения и завершается в течение десяти рабочих дней с момента создания комиссии).</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сроков продления расследования в случаях невозможности завершения расследования технологического нарушения в течение десяти рабочих дней с момента создания комиссии (сроки расследования продлеваются на срок не более 30 календарных дней).</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33"/>
          <w:p>
            <w:pPr>
              <w:spacing w:after="20"/>
              <w:ind w:left="20"/>
              <w:jc w:val="both"/>
            </w:pPr>
            <w:r>
              <w:rPr>
                <w:rFonts w:ascii="Times New Roman"/>
                <w:b w:val="false"/>
                <w:i w:val="false"/>
                <w:color w:val="000000"/>
                <w:sz w:val="20"/>
              </w:rPr>
              <w:t>
Неоформление актом расследования технологического нарушения, результатов расследования аварий, отказов I степени, а также отказов II степени, связанных с:</w:t>
            </w:r>
            <w:r>
              <w:br/>
            </w:r>
            <w:r>
              <w:rPr>
                <w:rFonts w:ascii="Times New Roman"/>
                <w:b w:val="false"/>
                <w:i w:val="false"/>
                <w:color w:val="000000"/>
                <w:sz w:val="20"/>
              </w:rPr>
              <w:t>
</w:t>
            </w:r>
            <w:r>
              <w:rPr>
                <w:rFonts w:ascii="Times New Roman"/>
                <w:b w:val="false"/>
                <w:i w:val="false"/>
                <w:color w:val="000000"/>
                <w:sz w:val="20"/>
              </w:rPr>
              <w:t>1) повреждением из-за заводских дефектов оборудования, не выработавшего срок службы;</w:t>
            </w:r>
            <w:r>
              <w:br/>
            </w:r>
            <w:r>
              <w:rPr>
                <w:rFonts w:ascii="Times New Roman"/>
                <w:b w:val="false"/>
                <w:i w:val="false"/>
                <w:color w:val="000000"/>
                <w:sz w:val="20"/>
              </w:rPr>
              <w:t>
</w:t>
            </w:r>
            <w:r>
              <w:rPr>
                <w:rFonts w:ascii="Times New Roman"/>
                <w:b w:val="false"/>
                <w:i w:val="false"/>
                <w:color w:val="000000"/>
                <w:sz w:val="20"/>
              </w:rPr>
              <w:t>2) полным сбросом нагрузки электростанцией;</w:t>
            </w:r>
            <w:r>
              <w:br/>
            </w:r>
            <w:r>
              <w:rPr>
                <w:rFonts w:ascii="Times New Roman"/>
                <w:b w:val="false"/>
                <w:i w:val="false"/>
                <w:color w:val="000000"/>
                <w:sz w:val="20"/>
              </w:rPr>
              <w:t>
</w:t>
            </w:r>
            <w:r>
              <w:rPr>
                <w:rFonts w:ascii="Times New Roman"/>
                <w:b w:val="false"/>
                <w:i w:val="false"/>
                <w:color w:val="000000"/>
                <w:sz w:val="20"/>
              </w:rPr>
              <w:t>3) повреждением электрических сетей 110-1150 кВ, а также основного оборудования подстанций 110 кВ и выше;</w:t>
            </w:r>
            <w:r>
              <w:br/>
            </w:r>
            <w:r>
              <w:rPr>
                <w:rFonts w:ascii="Times New Roman"/>
                <w:b w:val="false"/>
                <w:i w:val="false"/>
                <w:color w:val="000000"/>
                <w:sz w:val="20"/>
              </w:rPr>
              <w:t>
</w:t>
            </w:r>
            <w:r>
              <w:rPr>
                <w:rFonts w:ascii="Times New Roman"/>
                <w:b w:val="false"/>
                <w:i w:val="false"/>
                <w:color w:val="000000"/>
                <w:sz w:val="20"/>
              </w:rPr>
              <w:t>4) повреждением тепловых сетей в отопительный сезон;</w:t>
            </w:r>
            <w:r>
              <w:br/>
            </w:r>
            <w:r>
              <w:rPr>
                <w:rFonts w:ascii="Times New Roman"/>
                <w:b w:val="false"/>
                <w:i w:val="false"/>
                <w:color w:val="000000"/>
                <w:sz w:val="20"/>
              </w:rPr>
              <w:t>
5) ошибочными действиями персонала.</w:t>
            </w:r>
          </w:p>
          <w:bookmarkEnd w:id="33"/>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в Комитет атомного и энергетического надзора и контроля Министерства энергетики Республики Казахстан в срок до 1 декабря, ежегодного списка руководителей, подлежащих квалификационной проверке знаний на следующий календарный год.</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сроков, ежегодно с 1 августа, создания и начала работы комиссии организации по оценке готовности к работе в осенне-зимний период.</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сроков представления документов для получения паспорта готовности организации.</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согласованного плана мероприятий с указанием конкретных сроков устранения недостатков, в случае неготовности организаций к работе в осенне-зимний период.</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о выполнении выданных замечаний организацией, получившей паспорт готовности с замечаниями не позднее трех рабочих дней со дня истечения срока выполнения замечания.</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перспективных и годовых графиков ремонта основного оборудования, зданий и сооружений.</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Необеспеченность энергообъекта эксплуатационным (аварийным) запасом запасных частей, материалов и обменного фонда узлов и оборудования для своевременного обеспечения запланированных объемов ремонта.</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3" w:id="34"/>
    <w:p>
      <w:pPr>
        <w:spacing w:after="0"/>
        <w:ind w:left="0"/>
        <w:jc w:val="both"/>
      </w:pPr>
      <w:r>
        <w:rPr>
          <w:rFonts w:ascii="Times New Roman"/>
          <w:b w:val="false"/>
          <w:i w:val="false"/>
          <w:color w:val="000000"/>
          <w:sz w:val="28"/>
        </w:rPr>
        <w:t>
      в разделе Результаты предыдущих проверок и профилактического контроля с посещением субъектов (объектов) контроля (степень тяжести устанавливается при несоблюдении нижеперечисленных требований):</w:t>
      </w:r>
    </w:p>
    <w:bookmarkEnd w:id="34"/>
    <w:bookmarkStart w:name="z154" w:id="35"/>
    <w:p>
      <w:pPr>
        <w:spacing w:after="0"/>
        <w:ind w:left="0"/>
        <w:jc w:val="both"/>
      </w:pPr>
      <w:r>
        <w:rPr>
          <w:rFonts w:ascii="Times New Roman"/>
          <w:b w:val="false"/>
          <w:i w:val="false"/>
          <w:color w:val="000000"/>
          <w:sz w:val="28"/>
        </w:rPr>
        <w:t>
      строку, порядковый номер 15, изложить в следующей редакции:</w:t>
      </w:r>
    </w:p>
    <w:bookmarkEnd w:id="35"/>
    <w:bookmarkStart w:name="z155"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2"/>
        <w:gridCol w:w="9171"/>
        <w:gridCol w:w="697"/>
      </w:tblGrid>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37"/>
          <w:p>
            <w:pPr>
              <w:spacing w:after="20"/>
              <w:ind w:left="20"/>
              <w:jc w:val="both"/>
            </w:pPr>
            <w:r>
              <w:rPr>
                <w:rFonts w:ascii="Times New Roman"/>
                <w:b w:val="false"/>
                <w:i w:val="false"/>
                <w:color w:val="000000"/>
                <w:sz w:val="20"/>
              </w:rPr>
              <w:t>
Наличие раздела на собственном интернет-ресурсе, посвященному процессу подключения к сети электроснабжения и выдачи технических условий, включающего:</w:t>
            </w:r>
            <w:r>
              <w:br/>
            </w:r>
            <w:r>
              <w:rPr>
                <w:rFonts w:ascii="Times New Roman"/>
                <w:b w:val="false"/>
                <w:i w:val="false"/>
                <w:color w:val="000000"/>
                <w:sz w:val="20"/>
              </w:rPr>
              <w:t>
</w:t>
            </w:r>
            <w:r>
              <w:rPr>
                <w:rFonts w:ascii="Times New Roman"/>
                <w:b w:val="false"/>
                <w:i w:val="false"/>
                <w:color w:val="000000"/>
                <w:sz w:val="20"/>
              </w:rPr>
              <w:t>разработку раздела, посвященного технологическому подключению к сетям электроснабжения;</w:t>
            </w:r>
            <w:r>
              <w:br/>
            </w:r>
            <w:r>
              <w:rPr>
                <w:rFonts w:ascii="Times New Roman"/>
                <w:b w:val="false"/>
                <w:i w:val="false"/>
                <w:color w:val="000000"/>
                <w:sz w:val="20"/>
              </w:rPr>
              <w:t xml:space="preserve">
размещение информации о загрузке подстанций с периодичностью не менее 3 месяцев. </w:t>
            </w:r>
          </w:p>
          <w:bookmarkEnd w:id="37"/>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9" w:id="38"/>
    <w:p>
      <w:pPr>
        <w:spacing w:after="0"/>
        <w:ind w:left="0"/>
        <w:jc w:val="both"/>
      </w:pPr>
      <w:r>
        <w:rPr>
          <w:rFonts w:ascii="Times New Roman"/>
          <w:b w:val="false"/>
          <w:i w:val="false"/>
          <w:color w:val="000000"/>
          <w:sz w:val="28"/>
        </w:rPr>
        <w:t>
      строку, порядковый номер 19, изложить в следующей редакции:</w:t>
      </w:r>
    </w:p>
    <w:bookmarkEnd w:id="38"/>
    <w:bookmarkStart w:name="z160"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11371"/>
        <w:gridCol w:w="207"/>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предупреждения о прекращении (ограничении) поставки электрической энергии путем направления уведомления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в сроки не менее чем за 5 (пять) рабочих дня до прекращения поставки электрической энергии Потребителю (Потребителя, использующего электрическую энергию для бытовых нужд не менее чем за 30 (тридцать) календарных дней).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2" w:id="40"/>
    <w:p>
      <w:pPr>
        <w:spacing w:after="0"/>
        <w:ind w:left="0"/>
        <w:jc w:val="both"/>
      </w:pPr>
      <w:r>
        <w:rPr>
          <w:rFonts w:ascii="Times New Roman"/>
          <w:b w:val="false"/>
          <w:i w:val="false"/>
          <w:color w:val="000000"/>
          <w:sz w:val="28"/>
        </w:rPr>
        <w:t>
      строку, порядковый номер 21, изложить в следующей редакции:</w:t>
      </w:r>
    </w:p>
    <w:bookmarkEnd w:id="40"/>
    <w:bookmarkStart w:name="z163"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10080"/>
        <w:gridCol w:w="494"/>
      </w:tblGrid>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предупреждения энергопередающей организации потребителя о прекращении подачи электрической энергии для проведения плановых работ по ремонту оборудования и подключению новых потребителей не позднее, чем за три календарных дня до отключения.</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5" w:id="42"/>
    <w:p>
      <w:pPr>
        <w:spacing w:after="0"/>
        <w:ind w:left="0"/>
        <w:jc w:val="both"/>
      </w:pPr>
      <w:r>
        <w:rPr>
          <w:rFonts w:ascii="Times New Roman"/>
          <w:b w:val="false"/>
          <w:i w:val="false"/>
          <w:color w:val="000000"/>
          <w:sz w:val="28"/>
        </w:rPr>
        <w:t>
      строку, порядковый номер 26, изложить в следующей редакции:</w:t>
      </w:r>
    </w:p>
    <w:bookmarkEnd w:id="42"/>
    <w:bookmarkStart w:name="z166" w:id="43"/>
    <w:p>
      <w:pPr>
        <w:spacing w:after="0"/>
        <w:ind w:left="0"/>
        <w:jc w:val="both"/>
      </w:pP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9345"/>
        <w:gridCol w:w="658"/>
      </w:tblGrid>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44"/>
          <w:p>
            <w:pPr>
              <w:spacing w:after="20"/>
              <w:ind w:left="20"/>
              <w:jc w:val="both"/>
            </w:pPr>
            <w:r>
              <w:rPr>
                <w:rFonts w:ascii="Times New Roman"/>
                <w:b w:val="false"/>
                <w:i w:val="false"/>
                <w:color w:val="000000"/>
                <w:sz w:val="20"/>
              </w:rPr>
              <w:t>
Наличие составленного акта потребителю электроэнергии о нарушении в произвольной форме и проведение перерасчета при следующих нарушениях:</w:t>
            </w:r>
            <w:r>
              <w:br/>
            </w:r>
            <w:r>
              <w:rPr>
                <w:rFonts w:ascii="Times New Roman"/>
                <w:b w:val="false"/>
                <w:i w:val="false"/>
                <w:color w:val="000000"/>
                <w:sz w:val="20"/>
              </w:rPr>
              <w:t>
</w:t>
            </w:r>
            <w:r>
              <w:rPr>
                <w:rFonts w:ascii="Times New Roman"/>
                <w:b w:val="false"/>
                <w:i w:val="false"/>
                <w:color w:val="000000"/>
                <w:sz w:val="20"/>
              </w:rPr>
              <w:t>1) самовольное подключение к сетям энергопередающей организации;</w:t>
            </w:r>
            <w:r>
              <w:br/>
            </w:r>
            <w:r>
              <w:rPr>
                <w:rFonts w:ascii="Times New Roman"/>
                <w:b w:val="false"/>
                <w:i w:val="false"/>
                <w:color w:val="000000"/>
                <w:sz w:val="20"/>
              </w:rPr>
              <w:t>
</w:t>
            </w:r>
            <w:r>
              <w:rPr>
                <w:rFonts w:ascii="Times New Roman"/>
                <w:b w:val="false"/>
                <w:i w:val="false"/>
                <w:color w:val="000000"/>
                <w:sz w:val="20"/>
              </w:rPr>
              <w:t>2) подключение приемников электроэнергии помимо прибора коммерческого учета электрической энергии (далее – ПКУ);</w:t>
            </w:r>
            <w:r>
              <w:br/>
            </w:r>
            <w:r>
              <w:rPr>
                <w:rFonts w:ascii="Times New Roman"/>
                <w:b w:val="false"/>
                <w:i w:val="false"/>
                <w:color w:val="000000"/>
                <w:sz w:val="20"/>
              </w:rPr>
              <w:t>
</w:t>
            </w:r>
            <w:r>
              <w:rPr>
                <w:rFonts w:ascii="Times New Roman"/>
                <w:b w:val="false"/>
                <w:i w:val="false"/>
                <w:color w:val="000000"/>
                <w:sz w:val="20"/>
              </w:rPr>
              <w:t>3) изменение схемы включения ПКУ, трансформаторов тока и напряжения;</w:t>
            </w:r>
            <w:r>
              <w:br/>
            </w:r>
            <w:r>
              <w:rPr>
                <w:rFonts w:ascii="Times New Roman"/>
                <w:b w:val="false"/>
                <w:i w:val="false"/>
                <w:color w:val="000000"/>
                <w:sz w:val="20"/>
              </w:rPr>
              <w:t>
</w:t>
            </w:r>
            <w:r>
              <w:rPr>
                <w:rFonts w:ascii="Times New Roman"/>
                <w:b w:val="false"/>
                <w:i w:val="false"/>
                <w:color w:val="000000"/>
                <w:sz w:val="20"/>
              </w:rPr>
              <w:t>4) искусственное торможение диска ПКУ;</w:t>
            </w:r>
            <w:r>
              <w:br/>
            </w:r>
            <w:r>
              <w:rPr>
                <w:rFonts w:ascii="Times New Roman"/>
                <w:b w:val="false"/>
                <w:i w:val="false"/>
                <w:color w:val="000000"/>
                <w:sz w:val="20"/>
              </w:rPr>
              <w:t xml:space="preserve">
5) установка приспособлений, искажающих показания ПКУ. </w:t>
            </w:r>
          </w:p>
          <w:bookmarkEnd w:id="44"/>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3" w:id="45"/>
    <w:p>
      <w:pPr>
        <w:spacing w:after="0"/>
        <w:ind w:left="0"/>
        <w:jc w:val="both"/>
      </w:pPr>
      <w:r>
        <w:rPr>
          <w:rFonts w:ascii="Times New Roman"/>
          <w:b w:val="false"/>
          <w:i w:val="false"/>
          <w:color w:val="000000"/>
          <w:sz w:val="28"/>
        </w:rPr>
        <w:t>
      строку, порядковый номер 276, изложить в следующей редакции:</w:t>
      </w:r>
    </w:p>
    <w:bookmarkEnd w:id="45"/>
    <w:bookmarkStart w:name="z174"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4"/>
        <w:gridCol w:w="7743"/>
        <w:gridCol w:w="793"/>
      </w:tblGrid>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распорядительного документа по организации или структурному подразделению о допуске работника к самостоятельной работе.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6" w:id="47"/>
    <w:p>
      <w:pPr>
        <w:spacing w:after="0"/>
        <w:ind w:left="0"/>
        <w:jc w:val="both"/>
      </w:pPr>
      <w:r>
        <w:rPr>
          <w:rFonts w:ascii="Times New Roman"/>
          <w:b w:val="false"/>
          <w:i w:val="false"/>
          <w:color w:val="000000"/>
          <w:sz w:val="28"/>
        </w:rPr>
        <w:t>
      раздел Результаты предыдущих проверок и профилактического контроля с посещением субъектов (объектов) контроля (степень тяжести устанавливается при несоблюдении нижеперечисленных требований) дополнить строками, порядковые номера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и 418, следующего содержания:</w:t>
      </w:r>
    </w:p>
    <w:bookmarkEnd w:id="47"/>
    <w:bookmarkStart w:name="z177"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11419"/>
        <w:gridCol w:w="154"/>
      </w:tblGrid>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чистоте помещения закрытых распределительных устройств.</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помещениях и коридорах закрытых распределительных устройств устраивать кладовые и подсобные сооружения, не относящиеся к распределительному устройству, а также хранить электротехническое оборудование, материалы, запасные части, емкости с горючими жидкостями и баллоны с различными газами.</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у входа первичных средств пожаротушения в помещении закрытых распределительных устройств на подстанциях с постоянным персоналом, а также на электростанциях. При делении закрытых распределительных устройств на секции посты пожаротушения располагаются в тамбурах или на площадках у лестничных клеток.</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журнала и журнала (или картотеку) дефектов и неполадок с оборудованием для занесения результатов осмотра и выявленных недостатков.</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установки указателей ближайшего выхода в кабельных сооружениях не реже, чем через 50 м.</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уплотнения для обеспечения огнестойкости не менее 0,75 ч места прохода кабелей через стены, перегородки и перекрытия.</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быстросъемных крышек в кабельных коробах типа "компрессорно-конденсаторные блоки".</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применение кабелей с горючей полиэтиленовой изоляцией при проведении реконструкции или ремонта.</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сгораемых материалов, не относящиеся к данной установке в помещениях подпитывающих устройств маслонаполненных кабелей.</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прокладки через кабельные сооружения каких-либо транзитных коммуникаций и шинопроводов, а также применение металлических люков со сплошным дном и коробов при реконструкции и ремонте.</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выполнения пучков кабелей диаметром более 100 мм.</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бортовых ограждении маслоприемных устройств по всему периметру гравийной засыпки без разрывов высотой не менее 150 мм над землей.</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соответствующих надписей на дверях помещения аккумуляторной батареи, а также необходимые запрещающие и предписывающие знаки безопасности.</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о мерах пожарной безопасности на видном месте.</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49"/>
          <w:p>
            <w:pPr>
              <w:spacing w:after="20"/>
              <w:ind w:left="20"/>
              <w:jc w:val="both"/>
            </w:pPr>
            <w:r>
              <w:rPr>
                <w:rFonts w:ascii="Times New Roman"/>
                <w:b w:val="false"/>
                <w:i w:val="false"/>
                <w:color w:val="000000"/>
                <w:sz w:val="20"/>
              </w:rPr>
              <w:t>
Наличие на каждом энергетическом предприятии следующей разрабатываемой документации по пожарной безопасности:</w:t>
            </w:r>
            <w:r>
              <w:br/>
            </w:r>
            <w:r>
              <w:rPr>
                <w:rFonts w:ascii="Times New Roman"/>
                <w:b w:val="false"/>
                <w:i w:val="false"/>
                <w:color w:val="000000"/>
                <w:sz w:val="20"/>
              </w:rPr>
              <w:t>
</w:t>
            </w:r>
            <w:r>
              <w:rPr>
                <w:rFonts w:ascii="Times New Roman"/>
                <w:b w:val="false"/>
                <w:i w:val="false"/>
                <w:color w:val="000000"/>
                <w:sz w:val="20"/>
              </w:rPr>
              <w:t>1) общая инструкция о мерах пожарной безопасности на предприятии;</w:t>
            </w:r>
            <w:r>
              <w:br/>
            </w:r>
            <w:r>
              <w:rPr>
                <w:rFonts w:ascii="Times New Roman"/>
                <w:b w:val="false"/>
                <w:i w:val="false"/>
                <w:color w:val="000000"/>
                <w:sz w:val="20"/>
              </w:rPr>
              <w:t>
</w:t>
            </w:r>
            <w:r>
              <w:rPr>
                <w:rFonts w:ascii="Times New Roman"/>
                <w:b w:val="false"/>
                <w:i w:val="false"/>
                <w:color w:val="000000"/>
                <w:sz w:val="20"/>
              </w:rPr>
              <w:t>2) инструкция по пожарной безопасности в цехах, лабораториях, мастерских, складах и других производственных и вспомогательных сооружениях;</w:t>
            </w:r>
            <w:r>
              <w:br/>
            </w:r>
            <w:r>
              <w:rPr>
                <w:rFonts w:ascii="Times New Roman"/>
                <w:b w:val="false"/>
                <w:i w:val="false"/>
                <w:color w:val="000000"/>
                <w:sz w:val="20"/>
              </w:rPr>
              <w:t>
</w:t>
            </w:r>
            <w:r>
              <w:rPr>
                <w:rFonts w:ascii="Times New Roman"/>
                <w:b w:val="false"/>
                <w:i w:val="false"/>
                <w:color w:val="000000"/>
                <w:sz w:val="20"/>
              </w:rPr>
              <w:t>3) инструкция по обслуживанию установок пожаротушения;</w:t>
            </w:r>
            <w:r>
              <w:br/>
            </w:r>
            <w:r>
              <w:rPr>
                <w:rFonts w:ascii="Times New Roman"/>
                <w:b w:val="false"/>
                <w:i w:val="false"/>
                <w:color w:val="000000"/>
                <w:sz w:val="20"/>
              </w:rPr>
              <w:t>
</w:t>
            </w:r>
            <w:r>
              <w:rPr>
                <w:rFonts w:ascii="Times New Roman"/>
                <w:b w:val="false"/>
                <w:i w:val="false"/>
                <w:color w:val="000000"/>
                <w:sz w:val="20"/>
              </w:rPr>
              <w:t>4) инструкция по обслуживанию установок пожарной сигнализации;</w:t>
            </w:r>
            <w:r>
              <w:br/>
            </w:r>
            <w:r>
              <w:rPr>
                <w:rFonts w:ascii="Times New Roman"/>
                <w:b w:val="false"/>
                <w:i w:val="false"/>
                <w:color w:val="000000"/>
                <w:sz w:val="20"/>
              </w:rPr>
              <w:t>
</w:t>
            </w:r>
            <w:r>
              <w:rPr>
                <w:rFonts w:ascii="Times New Roman"/>
                <w:b w:val="false"/>
                <w:i w:val="false"/>
                <w:color w:val="000000"/>
                <w:sz w:val="20"/>
              </w:rPr>
              <w:t>5) оперативный план пожаротушения для всех тепловых и гидравлических электростанций, независимо от мощности, и подстанций напряжением 500 кВ и выше;</w:t>
            </w:r>
            <w:r>
              <w:br/>
            </w:r>
            <w:r>
              <w:rPr>
                <w:rFonts w:ascii="Times New Roman"/>
                <w:b w:val="false"/>
                <w:i w:val="false"/>
                <w:color w:val="000000"/>
                <w:sz w:val="20"/>
              </w:rPr>
              <w:t>
</w:t>
            </w:r>
            <w:r>
              <w:rPr>
                <w:rFonts w:ascii="Times New Roman"/>
                <w:b w:val="false"/>
                <w:i w:val="false"/>
                <w:color w:val="000000"/>
                <w:sz w:val="20"/>
              </w:rPr>
              <w:t>6) оперативные карточки пожаротушения для подстанций напряжением от 35 кВ и выше;</w:t>
            </w:r>
            <w:r>
              <w:br/>
            </w:r>
            <w:r>
              <w:rPr>
                <w:rFonts w:ascii="Times New Roman"/>
                <w:b w:val="false"/>
                <w:i w:val="false"/>
                <w:color w:val="000000"/>
                <w:sz w:val="20"/>
              </w:rPr>
              <w:t>
</w:t>
            </w:r>
            <w:r>
              <w:rPr>
                <w:rFonts w:ascii="Times New Roman"/>
                <w:b w:val="false"/>
                <w:i w:val="false"/>
                <w:color w:val="000000"/>
                <w:sz w:val="20"/>
              </w:rPr>
              <w:t>7) инструкции по эксплуатации систем водоснабжения, установок обнаружения и тушения пожара;</w:t>
            </w:r>
            <w:r>
              <w:br/>
            </w:r>
            <w:r>
              <w:rPr>
                <w:rFonts w:ascii="Times New Roman"/>
                <w:b w:val="false"/>
                <w:i w:val="false"/>
                <w:color w:val="000000"/>
                <w:sz w:val="20"/>
              </w:rPr>
              <w:t>
8) инструкции по эксплуатации оборудования, зданий и сооружений, систем управления, защиты, телемеханики, связи и комплекса технических средств автоматизированной системы управления.</w:t>
            </w:r>
          </w:p>
          <w:bookmarkEnd w:id="49"/>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свободного проезда автомобилей и людей вокруг зданий и дороги на территории энергетического предприятия.</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указателей для выхода персонала на путях эвакуации.</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состоянии рабочего и аварийного освещения.</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информация о выполнении замечаний, выданных с паспортом готовности, в государственный орган по государственному энергетическому надзору и контролю, его территориальным подразделениям не позднее трех рабочих дней со дня истечения срока выполнения замечания.</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прекращения энергопередающей организацией полностью или частично подачи электрической энергии при наличии заявки энергоснабжающей организации на прекращение (ограничение) электрической энергии.</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подключения потребителя, отключенного за нарушение условий договора электроснабжения, в течение 1 (одного) рабочего дня, после обращения Потребителя с приложением документов, подтверждающих устранение нарушения и оплаты услуги за подключение.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об осмотре коммерческого учета произвольной формы, с фиксацией в нем наличия или отсутствия пломбы (клейма) или пломбировочного устройства о первичной или периодической поверке организации, имеющей на это право, целостности стекла и корпуса прибора коммерческого учета, наличие или отсутствие пломбировочного устройства энергопередающей организации в местах, ранее установленных энергопередающей организацией, при визуальном осмотре 1 (один) раз в полугодие при снятии показаний прибора коммерческого учета.</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перерасчета, исходя из фактической подключенной нагрузки с учетом часов использования 24 часа в сутки, но не больше разрешенной мощности согласно техническим условиям, при этом период перерасчета определяется за все время со дня последней замены прибора коммерческого учета или последней инструментальной проверки схемы его включения, но не более одного года.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и перерасчета объема использованной энергии по фактически подключенной нагрузке с момента приобретения прав собственности, но не более одного года при обнаружении самовольного подключения к электрическим сетям энергопередающей организаций.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электроустановки в эксплуатацию при обнаружении в электроустановках потребителей недостатков в монтаже, отступлений от выданных технических условий, проектной документации и требований нормативно-технических документов.</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таблички на основном и вспомогательном оборудовании подстанции с номинальными данными согласно инструкции завода-изготовителя на это оборудование.</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инструкциях, схемах и чертежах всех изменений в энергоустановках, выполненных в процессе эксплуатации и внесенных за подписью контролирующего лица с указанием его должности и даты внесения изменения.</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зданий и сооружений в исправном состоянии.</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технического освидетельствования строительных конструкции основных производственных зданий и сооружений по перечню, утвержденному руководителем энергообъекта, согласованного с генеральным проектировщиком, один раз в 5 лет специализированной организацией.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электродвигателях и приводимых ими механизмах стрелок, указывающих направление вращения.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электродвигателях и их пусковых устройствах надписей с наименованием агрегата, к которому они относятся.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баках трансформаторов и реакторов наружной установки станционных (подстанционных) номеров, а также наличие таких же номеров на двери и внутренней поверхности трансформаторных пунктов и камер.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расцветки фазы на баках однофазного трансформатора и реактора.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питания электродвигателей устройств охлаждения трансформаторов (реакторов) от двух источников, а для трансформаторов (реакторов) с принудительной циркуляцией масла – с применением автоматического ввода резерва.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Недопущения эксплуатации трансформаторов и реакторов с искусственным охлаждением без включенных в работу устройств сигнализации о прекращении циркуляции масла, охлаждающей воды или об останове вентиляторов.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на рукоятки приводов заземляющих ножей окрашивания в красный цвет, а заземляющих ножей окрашивание в полосы (белого и красного цветов).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предохранительных щитках и (или) у предохранителей присоединений надписи, указывающей номинальный ток плавкой вставки.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обозначения расцветки фаз на металлических частях корпусов оборудования.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приводах разъединителей, заземляющих ножей, отделителей, короткозамыкателей и других аппаратов, отделенных от аппаратов стенкой, указателей отключенного и включенного положений.</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дверях помещения аккумуляторной батареи надписи "Аккумуляторная", "Огнеопасно", "Запрещается курить" и соответствующих знаков безопасности о недопущении пользоваться открытым огнем и курить.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каждой аккумуляторной установке журнала с записями об осмотре и объемах проведенных работ.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паспорта для каждой кабельной линии с указанием основных данных по линии.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журнале дефектов и неполадок, о выявленных нарушениях на кабельных линиях при осмотрах.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рубильников, защищенные несгораемыми кожухами без отверстий и щелей с непосредственным ручным управлением (без привода), предназначенные для включения и отключения тока нагрузки и имеющие контакты, обращенные к оператору, при этом рубильники, предназначенные лишь для снятия напряжения, допускается устанавливать открыто, при условии, что они недоступны для неквалифицированного персонала.</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указателя положения выключателя на выключателе, и на приводе, если выключатель не имеет открытых контактов и его привод отделен стеной от выключателя.</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распределительных устройствах и на подстанции выше 1 кВ стационарных заземляющих ножей.</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заземляющих ножей у других разъединителей на участке схемы, расположенные со стороны возможной подачи напряжения, в случае отключения заземляющих ножей в процессе их ремонта или ремонта разъединителя, оснащенного заземляющим ножом, за исключением заземляющих ножей со стороны линии линейных разъединителей (при отсутствии обходной системы шин) и заземляющих ножей, установленных как самостоятельные аппараты отдельно от разъединителей, а РУ в исполнении КРУЭ.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окрашивания заземляющих ножей в полосы белого и красного цветов, рукоятки приводов заземляющих ножей в красный цвет, а рукоятки других приводов - в цвета оборудования.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токоведущих и заземляющих шинах подготовленных контактных поверхностей для присоединения переносных заземляющих проводников, в местах, в которых стационарные заземляющие ножи не применяются.</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между дверью и барьером не менее 0,5 м или площадки перед дверью для осмотра при высоте пола камер над уровнем земли более 0,3 м.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расположения указателей уровня и температуры масла маслонаполненных трансформаторов и аппаратов и указателей, характеризующих состояние оборудования, обеспечивающие удобное и безопасное условие для доступа к ним и наблюдения за ними без снятия напряжения.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уровня пола или поверхности земли до крана трансформатора или аппарата не менее 0,2 м или соответствующего приямка для отбора проб масла.</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электропроводки цепей защиты, измерения, сигнализации и освещения, проложенной по электротехническим устройствам с масляным наполнением.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окрашивания трансформаторов, реакторов и конденсаторов наружной установки в светлые тона красками, стойкими к атмосферным воздействиям и воздействию масла, для уменьшения нагрева прямыми лучами солнца.</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распределительных устройств и подстанции оборудованные электрическим освещением, при этом осветительная арматура установлена таким образом, что обеспечено ее безопасное обслуживание.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соединения гибких проводов в пролетах опрессовкой, а соединения в петлях у опор, присоединения ответвлений в пролете и присоединения к аппаратным зажимам - сваркой или опрессовкой, а также выполнение присоединения ответвлений в пролете без разрезания проводов пролета.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пайки и скрутки проводов.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ответвления от сборных шин открытого распределительного устройства ниже сборных шин.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подвески ошиновки одним пролетом над двумя и более секциями или системами сборных шин.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прокладки воздушных осветительных линий, линий связи и сигнализации над и под токоведущими частями открытыми распределительными устройствами.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противопожарного расстояния от зданий трансформаторной мастерской и аппаратной маслохозяйства, а также от складов масла до ограды открытого распределительного устройства не менее 6 м.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зданий закрытого распределительного устройства до других производственных зданий не менее 7 м, при этом указанное расстояние может не соблюдаться при условии, что стена закрытого распределительного устройства, обращенная в сторону другого здания, будет сооружена как противопожарная с пределом огнестойкости 2,5 часов.</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складов водорода до открытого распределительного устройства, трансформаторов, синхронных компенсаторов не менее 50 м.</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50"/>
          <w:p>
            <w:pPr>
              <w:spacing w:after="20"/>
              <w:ind w:left="20"/>
              <w:jc w:val="both"/>
            </w:pPr>
            <w:r>
              <w:rPr>
                <w:rFonts w:ascii="Times New Roman"/>
                <w:b w:val="false"/>
                <w:i w:val="false"/>
                <w:color w:val="000000"/>
                <w:sz w:val="20"/>
              </w:rPr>
              <w:t>
Наличие маслоприемников, маслоотводов и маслосборников для предотвращения растекания масла и распространения пожара при повреждениях маслонаполненных силовых трансформаторов (реакторов) с массой масла более 1 тонны в единице (одном баке) и баковых выключателей 110 кВ и выше с соблюдением следующих требований:</w:t>
            </w:r>
            <w:r>
              <w:br/>
            </w:r>
            <w:r>
              <w:rPr>
                <w:rFonts w:ascii="Times New Roman"/>
                <w:b w:val="false"/>
                <w:i w:val="false"/>
                <w:color w:val="000000"/>
                <w:sz w:val="20"/>
              </w:rPr>
              <w:t>
</w:t>
            </w:r>
            <w:r>
              <w:rPr>
                <w:rFonts w:ascii="Times New Roman"/>
                <w:b w:val="false"/>
                <w:i w:val="false"/>
                <w:color w:val="000000"/>
                <w:sz w:val="20"/>
              </w:rPr>
              <w:t>1) габариты маслоприемника выступают за габариты единичного электрооборудования не менее чем на 0,6 м при массе масла до 2 тонн; 1 м при массе более 2 до 10 тонн 1,5 м при массе более 10 до 50 тонн 2 м при массе более 50 тонн. При этом, габарит маслоприемника может быть принят меньшим на 0,5 м со стороны стены или перегородки, располагаемой от трансформатора на расстоянии менее 2 м.</w:t>
            </w:r>
            <w:r>
              <w:br/>
            </w:r>
            <w:r>
              <w:rPr>
                <w:rFonts w:ascii="Times New Roman"/>
                <w:b w:val="false"/>
                <w:i w:val="false"/>
                <w:color w:val="000000"/>
                <w:sz w:val="20"/>
              </w:rPr>
              <w:t>
</w:t>
            </w:r>
            <w:r>
              <w:rPr>
                <w:rFonts w:ascii="Times New Roman"/>
                <w:b w:val="false"/>
                <w:i w:val="false"/>
                <w:color w:val="000000"/>
                <w:sz w:val="20"/>
              </w:rPr>
              <w:t>Объем маслоприемника рассчитан на одновременный прием 100 % масла, содержащегося в корпусе трансформатора (реактора).</w:t>
            </w:r>
            <w:r>
              <w:br/>
            </w:r>
            <w:r>
              <w:rPr>
                <w:rFonts w:ascii="Times New Roman"/>
                <w:b w:val="false"/>
                <w:i w:val="false"/>
                <w:color w:val="000000"/>
                <w:sz w:val="20"/>
              </w:rPr>
              <w:t>
</w:t>
            </w:r>
            <w:r>
              <w:rPr>
                <w:rFonts w:ascii="Times New Roman"/>
                <w:b w:val="false"/>
                <w:i w:val="false"/>
                <w:color w:val="000000"/>
                <w:sz w:val="20"/>
              </w:rPr>
              <w:t>У баковых выключателей маслоприемники рассчитан на прием 80 % масла, содержащегося в одном баке;</w:t>
            </w:r>
            <w:r>
              <w:br/>
            </w:r>
            <w:r>
              <w:rPr>
                <w:rFonts w:ascii="Times New Roman"/>
                <w:b w:val="false"/>
                <w:i w:val="false"/>
                <w:color w:val="000000"/>
                <w:sz w:val="20"/>
              </w:rPr>
              <w:t>
</w:t>
            </w:r>
            <w:r>
              <w:rPr>
                <w:rFonts w:ascii="Times New Roman"/>
                <w:b w:val="false"/>
                <w:i w:val="false"/>
                <w:color w:val="000000"/>
                <w:sz w:val="20"/>
              </w:rPr>
              <w:t>2) устройство маслоприемников и маслоотводов исключает переток масла (воды) из одного маслоприемника в другой, растекания масла по кабельным и другим подземным сооружениям, распространения пожара, засорения маслоотвода и забивку его снегом, льдом;</w:t>
            </w:r>
            <w:r>
              <w:br/>
            </w:r>
            <w:r>
              <w:rPr>
                <w:rFonts w:ascii="Times New Roman"/>
                <w:b w:val="false"/>
                <w:i w:val="false"/>
                <w:color w:val="000000"/>
                <w:sz w:val="20"/>
              </w:rPr>
              <w:t>
</w:t>
            </w:r>
            <w:r>
              <w:rPr>
                <w:rFonts w:ascii="Times New Roman"/>
                <w:b w:val="false"/>
                <w:i w:val="false"/>
                <w:color w:val="000000"/>
                <w:sz w:val="20"/>
              </w:rPr>
              <w:t xml:space="preserve">3) для трансформаторов (реакторов) мощностью до 10 МВА допускается выполнение маслоприемников без отвода масла. </w:t>
            </w:r>
            <w:r>
              <w:br/>
            </w:r>
            <w:r>
              <w:rPr>
                <w:rFonts w:ascii="Times New Roman"/>
                <w:b w:val="false"/>
                <w:i w:val="false"/>
                <w:color w:val="000000"/>
                <w:sz w:val="20"/>
              </w:rPr>
              <w:t>
</w:t>
            </w:r>
            <w:r>
              <w:rPr>
                <w:rFonts w:ascii="Times New Roman"/>
                <w:b w:val="false"/>
                <w:i w:val="false"/>
                <w:color w:val="000000"/>
                <w:sz w:val="20"/>
              </w:rPr>
              <w:t>При этом, маслоприемники должны выполняться заглубленными, рассчитанными на полный объем масла, содержащегося в установленном над ними оборудовании, и закрываться металлической решеткой, поверх которой должен быть насыпан толщиной не менее 0,25 м слой чистого гравия или промытого гранитного щебня либо непористого щебня другой породы с частицами от 30 до 70 мм.</w:t>
            </w:r>
            <w:r>
              <w:br/>
            </w:r>
            <w:r>
              <w:rPr>
                <w:rFonts w:ascii="Times New Roman"/>
                <w:b w:val="false"/>
                <w:i w:val="false"/>
                <w:color w:val="000000"/>
                <w:sz w:val="20"/>
              </w:rPr>
              <w:t>
</w:t>
            </w:r>
            <w:r>
              <w:rPr>
                <w:rFonts w:ascii="Times New Roman"/>
                <w:b w:val="false"/>
                <w:i w:val="false"/>
                <w:color w:val="000000"/>
                <w:sz w:val="20"/>
              </w:rPr>
              <w:t>Удаление масла и воды из заглубленного маслоприемника предусмотрено переносным насосным агрегатом. При применении маслоприемника без отвода масла выполняется простейшее устройство для проверки отсутствия масла (воды) в маслоприемнике;</w:t>
            </w:r>
            <w:r>
              <w:br/>
            </w:r>
            <w:r>
              <w:rPr>
                <w:rFonts w:ascii="Times New Roman"/>
                <w:b w:val="false"/>
                <w:i w:val="false"/>
                <w:color w:val="000000"/>
                <w:sz w:val="20"/>
              </w:rPr>
              <w:t>
</w:t>
            </w:r>
            <w:r>
              <w:rPr>
                <w:rFonts w:ascii="Times New Roman"/>
                <w:b w:val="false"/>
                <w:i w:val="false"/>
                <w:color w:val="000000"/>
                <w:sz w:val="20"/>
              </w:rPr>
              <w:t>4) маслоприемники с отводом масла выполняются как заглубленного типа (дно ниже уровня окружающей планировки земли), так и незаглубленного типа (дно на уровне окружающей планировки земли).</w:t>
            </w:r>
            <w:r>
              <w:br/>
            </w:r>
            <w:r>
              <w:rPr>
                <w:rFonts w:ascii="Times New Roman"/>
                <w:b w:val="false"/>
                <w:i w:val="false"/>
                <w:color w:val="000000"/>
                <w:sz w:val="20"/>
              </w:rPr>
              <w:t>
</w:t>
            </w:r>
            <w:r>
              <w:rPr>
                <w:rFonts w:ascii="Times New Roman"/>
                <w:b w:val="false"/>
                <w:i w:val="false"/>
                <w:color w:val="000000"/>
                <w:sz w:val="20"/>
              </w:rPr>
              <w:t>При выполнении заглубленного маслоприемника устройство бортовых ограждений не требуется, если при этом, обеспечивается объем маслоприемника.</w:t>
            </w:r>
            <w:r>
              <w:br/>
            </w:r>
            <w:r>
              <w:rPr>
                <w:rFonts w:ascii="Times New Roman"/>
                <w:b w:val="false"/>
                <w:i w:val="false"/>
                <w:color w:val="000000"/>
                <w:sz w:val="20"/>
              </w:rPr>
              <w:t>
</w:t>
            </w:r>
            <w:r>
              <w:rPr>
                <w:rFonts w:ascii="Times New Roman"/>
                <w:b w:val="false"/>
                <w:i w:val="false"/>
                <w:color w:val="000000"/>
                <w:sz w:val="20"/>
              </w:rPr>
              <w:t>Незаглубленный маслоприемник должен выполняться в виде бортовых ограждений маслонаполненного оборудования. Высота бортовых ограждений должна быть не менее 0,25 и не более 0,5 м над уровнем окружающей планировки.</w:t>
            </w:r>
            <w:r>
              <w:br/>
            </w:r>
            <w:r>
              <w:rPr>
                <w:rFonts w:ascii="Times New Roman"/>
                <w:b w:val="false"/>
                <w:i w:val="false"/>
                <w:color w:val="000000"/>
                <w:sz w:val="20"/>
              </w:rPr>
              <w:t>
</w:t>
            </w:r>
            <w:r>
              <w:rPr>
                <w:rFonts w:ascii="Times New Roman"/>
                <w:b w:val="false"/>
                <w:i w:val="false"/>
                <w:color w:val="000000"/>
                <w:sz w:val="20"/>
              </w:rPr>
              <w:t>Дно маслоприемника (заглубленного и незаглубленного) должно быть засыпано крупным чистым гравием или промытым гранитным щебнем либо непористым щебнем другой породы с частицами от 30 до 70 мм. Толщина засыпки должна быть не менее 0,25 м;</w:t>
            </w:r>
            <w:r>
              <w:br/>
            </w:r>
            <w:r>
              <w:rPr>
                <w:rFonts w:ascii="Times New Roman"/>
                <w:b w:val="false"/>
                <w:i w:val="false"/>
                <w:color w:val="000000"/>
                <w:sz w:val="20"/>
              </w:rPr>
              <w:t>
</w:t>
            </w:r>
            <w:r>
              <w:rPr>
                <w:rFonts w:ascii="Times New Roman"/>
                <w:b w:val="false"/>
                <w:i w:val="false"/>
                <w:color w:val="000000"/>
                <w:sz w:val="20"/>
              </w:rPr>
              <w:t>5) при установке маслонаполненного электрооборудования на железобетонном перекрытии здания (сооружения) устройство маслоотвода является обязательным;</w:t>
            </w:r>
            <w:r>
              <w:br/>
            </w:r>
            <w:r>
              <w:rPr>
                <w:rFonts w:ascii="Times New Roman"/>
                <w:b w:val="false"/>
                <w:i w:val="false"/>
                <w:color w:val="000000"/>
                <w:sz w:val="20"/>
              </w:rPr>
              <w:t>
</w:t>
            </w:r>
            <w:r>
              <w:rPr>
                <w:rFonts w:ascii="Times New Roman"/>
                <w:b w:val="false"/>
                <w:i w:val="false"/>
                <w:color w:val="000000"/>
                <w:sz w:val="20"/>
              </w:rPr>
              <w:t>6) маслоотводы должны обеспечивать отвод из маслоприемника масла и воды, применяемой для тушения пожара автоматическими стационарными устройствами, на безопасное в пожарном отношении расстояние от оборудования и сооружений, 50 % масла и полное количество воды должны удаляться не более чем за 0,25 часов. Маслоотводы выполняются в виде подземных трубопроводов или открытых кюветов и лотков;</w:t>
            </w:r>
            <w:r>
              <w:br/>
            </w:r>
            <w:r>
              <w:rPr>
                <w:rFonts w:ascii="Times New Roman"/>
                <w:b w:val="false"/>
                <w:i w:val="false"/>
                <w:color w:val="000000"/>
                <w:sz w:val="20"/>
              </w:rPr>
              <w:t xml:space="preserve">
7) маслосборники должны быть рассчитаны на полный объем масла единичного оборудования, содержащего наибольшее количество масла, и должны выполняться закрытого типа. </w:t>
            </w:r>
          </w:p>
          <w:bookmarkEnd w:id="50"/>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на участках ВЛ, подверженных интенсивному загрязнению, специальной или усиленной изоляции.</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устройств над изолирующими подвесками, исключающие возможность посадки птиц или отпугивающие птиц и не угрожающие их жизни, в зонах интенсивных загрязнений изоляции птицами и в местах массовых гнездований.</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не более двух соединителей на каждом проводе или тросе, при эксплуатации ВЛ в пролетах пересечения действующей линии с другими ВЛ и линиями связи.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хранение аварийного запаса материалов и деталей согласно нормам утвержденным техническим руководителем организации, в целях своевременной ликвидации аварийных повреждений на ВЛ.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размещения ВЛ так, чтобы опоры не загораживали входов в здания и въездов во дворы и не затрудняли движения транспорта и пешеходов.</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опоры от наезда, в местах, где имеется опасность наезда транспорта (у въездов во дворы, вблизи съездов с дорог, при пересечении дорог).</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от проводов до деревьев и кустов при наибольшей стреле провеса самонесущего изолированного провода и наибольшем их отклонении не менее 0,3 м.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одной ВЛ, не более двух сечений проводов.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магистрали ВЛ проводами одного сечения.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сечения фазных проводов магистрали ВЛ не менее 50 мм2.</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Недопущения применения фазных проводов сечением 120 мм2 в магистрали ВЛ.</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ответвлений от ВЛ к вводам в здания, изолированными проводами, стойкими к воздействию условий окружающей среды, сечением не менее 6 мм2 по меди и 16 мм2 по алюминию.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одинарного крепления неизолированных проводов к изоляторам и изолирующим траверсам на опорах ВЛ, за исключением опор для пересечений.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крепления проводов к штыревым изоляторам на промежуточных опорах на шейке изолятора, с внутренней его стороны по отношению к стойке опоры, при помощи проволочной вязки или зажимов.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глухого крепления провода, при ответвлений от ВЛ к вводам.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соединения проводов в пролетах ВЛ при помощи соединительных зажимов, обеспечивающих механическую прочность от разрывного усилия провода.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соединения проводов из разных металлов или разных сечений только в петлях анкерных опор при помощи переходных зажимов или сварки.</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одном пролете ВЛ не более одного соединения на каждый провод.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двухцепных ВЛ в сетях с заземленной нейтралью, нулевого провода каждой цепи.</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многошейковых или дополнительных изоляторов в местах ответвлений от ВЛ.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закрепления нулевых проводов на изоляторах или изолирующих траверсах.</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опорах ВЛ заземляющих устройств, предназначенных для повторного заземления нулевого провода, защиты от атмосферных перенапряжений, заземления электрооборудования, установленного на опорах ВЛ.</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совмещения заземляющих устройств защиты от грозовых перенапряжений с повторным заземлением нулевого провода.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присоединения защитным проводником металлических опор, металлических конструкций и арматуры железобетонных опор к нулевому проводу.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присоединения нулевого провода на железобетонных опорах к заземляющему выпуску арматуры железобетонных стоек и подкосов опор.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присоединения оттяжек опор ВЛ к заземляющему проводнику.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заземления крюков, штырей и арматуры опор ВЛ напряжением до 1 кВ, ограничивающих пролет пересечения, а также на опорах, на которых производится совместная подвеска, при этом сопротивление заземляющего устройства должно быть не более 30 Ом.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к заземлителю защитных аппаратов, устанавливаемых на опорах ВЛ для защиты от грозовых перенапряжений, отдельным спуском.</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заземляющих устройств, предназначенных для защиты от атмосферных перенапряжений в населенной местности с одно- и двухэтажной застройкой, на ВЛ, не экранированные промышленными дымовыми трубами, высокими деревьями, зданиями, с сопротивлением этих заземляющих устройств не более 30 Ом, а расстояние между ними должны быть - не более 200 м для районов с числом грозовых часов в году до 40 и 100 м для районов с числом грозовых часов в году более 40.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51"/>
          <w:p>
            <w:pPr>
              <w:spacing w:after="20"/>
              <w:ind w:left="20"/>
              <w:jc w:val="both"/>
            </w:pPr>
            <w:r>
              <w:rPr>
                <w:rFonts w:ascii="Times New Roman"/>
                <w:b w:val="false"/>
                <w:i w:val="false"/>
                <w:color w:val="000000"/>
                <w:sz w:val="20"/>
              </w:rPr>
              <w:t>
Выполнение заземляющих устройств:</w:t>
            </w:r>
            <w:r>
              <w:br/>
            </w:r>
            <w:r>
              <w:rPr>
                <w:rFonts w:ascii="Times New Roman"/>
                <w:b w:val="false"/>
                <w:i w:val="false"/>
                <w:color w:val="000000"/>
                <w:sz w:val="20"/>
              </w:rPr>
              <w:t>
</w:t>
            </w:r>
            <w:r>
              <w:rPr>
                <w:rFonts w:ascii="Times New Roman"/>
                <w:b w:val="false"/>
                <w:i w:val="false"/>
                <w:color w:val="000000"/>
                <w:sz w:val="20"/>
              </w:rPr>
              <w:t>1) на опорах с ответвлениями к вводам в помещения, в которых может быть сосредоточено большое количество людей (школы, ясли, больницы) и которые представляют большую хозяйственную ценность (животноводческие помещения, склады, мастерские);</w:t>
            </w:r>
            <w:r>
              <w:br/>
            </w:r>
            <w:r>
              <w:rPr>
                <w:rFonts w:ascii="Times New Roman"/>
                <w:b w:val="false"/>
                <w:i w:val="false"/>
                <w:color w:val="000000"/>
                <w:sz w:val="20"/>
              </w:rPr>
              <w:t>
2) на конечных опорах линий, имеющих ответвления к вводам, при этом, наибольшее расстояние от соседнего защитного заземления этих же линий должно быть не более 100 м - для районов с числом грозовых часов в году до 40 и 50 м - для районов с числом грозовых часов в году более 40.</w:t>
            </w:r>
          </w:p>
          <w:bookmarkEnd w:id="51"/>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соединения заземляющих проводников между собой, присоединения их к верхним заземляющим выпускам стоек железобетонных опор, крюкам и кронштейнам, а также к заземляемым металлоконструкциям и заземляемому электрооборудованию, установленному на опорах ВЛ сваркой или с помощью болтовых соединений.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присоединения заземляющих проводников (спусков) к заземлителю в земле сваркой или с помощью болтовых соединений.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однопроволочных стальных оттяжек сечением не менее 25 мм2.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отклонения вершины анкерной опоры с учетом поворота в грунте не более 1/30Н, где Н - высота опоры ВЛ.</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от проводов ВЛ в населенной и ненаселенной местности при наибольшей стреле провеса проводов до поверхности земли и проезжей части улиц должно быть не менее 6 м.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52"/>
          <w:p>
            <w:pPr>
              <w:spacing w:after="20"/>
              <w:ind w:left="20"/>
              <w:jc w:val="both"/>
            </w:pPr>
            <w:r>
              <w:rPr>
                <w:rFonts w:ascii="Times New Roman"/>
                <w:b w:val="false"/>
                <w:i w:val="false"/>
                <w:color w:val="000000"/>
                <w:sz w:val="20"/>
              </w:rPr>
              <w:t>
Соблюдение расстояния по горизонтали от проводов ВЛ при наибольшем их отклонении до зданий, строений и сооружений не менее:</w:t>
            </w:r>
            <w:r>
              <w:br/>
            </w:r>
            <w:r>
              <w:rPr>
                <w:rFonts w:ascii="Times New Roman"/>
                <w:b w:val="false"/>
                <w:i w:val="false"/>
                <w:color w:val="000000"/>
                <w:sz w:val="20"/>
              </w:rPr>
              <w:t>
</w:t>
            </w:r>
            <w:r>
              <w:rPr>
                <w:rFonts w:ascii="Times New Roman"/>
                <w:b w:val="false"/>
                <w:i w:val="false"/>
                <w:color w:val="000000"/>
                <w:sz w:val="20"/>
              </w:rPr>
              <w:t>1) 1,5 м - до балконов, террас и окон;</w:t>
            </w:r>
            <w:r>
              <w:br/>
            </w:r>
            <w:r>
              <w:rPr>
                <w:rFonts w:ascii="Times New Roman"/>
                <w:b w:val="false"/>
                <w:i w:val="false"/>
                <w:color w:val="000000"/>
                <w:sz w:val="20"/>
              </w:rPr>
              <w:t xml:space="preserve">
2) 1 м - до глухих стен. </w:t>
            </w:r>
          </w:p>
          <w:bookmarkEnd w:id="52"/>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Недопущения прохождения ВЛ с неизолированными проводами над зданиями, строениями и сооружениями, за исключением ответвлений от ВЛ к вводам в здания.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в помещениях и коридорах закрытых распределительных устройств наличия кладовых и подсобных сооружений, не относящиеся к распределительному устройству, а также хранение электротехнического оборудования, материалов, запасных частей, емкостей с горючими жидкостями и баллонов с различными газами.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графика чистки электротехнического оборудования закрытых распределительных устройств, утвержденного техническим руководителем, с обязательным выполнением организационных и технических мероприятий.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кабельных каналов закрытых распределительных устройств и наземных кабельных лотков открытых распределительных устройств закрытых плитами.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53"/>
          <w:p>
            <w:pPr>
              <w:spacing w:after="20"/>
              <w:ind w:left="20"/>
              <w:jc w:val="both"/>
            </w:pPr>
            <w:r>
              <w:rPr>
                <w:rFonts w:ascii="Times New Roman"/>
                <w:b w:val="false"/>
                <w:i w:val="false"/>
                <w:color w:val="000000"/>
                <w:sz w:val="20"/>
              </w:rPr>
              <w:t>
Выполнение кабельных линии, так чтобы в процессе монтажа и эксплуатации было исключено возникновение в них опасных механических напряжений и повреждений:</w:t>
            </w:r>
            <w:r>
              <w:br/>
            </w:r>
            <w:r>
              <w:rPr>
                <w:rFonts w:ascii="Times New Roman"/>
                <w:b w:val="false"/>
                <w:i w:val="false"/>
                <w:color w:val="000000"/>
                <w:sz w:val="20"/>
              </w:rPr>
              <w:t>
</w:t>
            </w:r>
            <w:r>
              <w:rPr>
                <w:rFonts w:ascii="Times New Roman"/>
                <w:b w:val="false"/>
                <w:i w:val="false"/>
                <w:color w:val="000000"/>
                <w:sz w:val="20"/>
              </w:rPr>
              <w:t>1) кабели должны быть уложены с запасом по длине, достаточным для компенсации возможных смещений почвы и температурных деформаций самих кабелей и конструкций, по которым они проложены; укладывать запас кабеля в виде колец (витков) не допускается;</w:t>
            </w:r>
            <w:r>
              <w:br/>
            </w:r>
            <w:r>
              <w:rPr>
                <w:rFonts w:ascii="Times New Roman"/>
                <w:b w:val="false"/>
                <w:i w:val="false"/>
                <w:color w:val="000000"/>
                <w:sz w:val="20"/>
              </w:rPr>
              <w:t>
</w:t>
            </w:r>
            <w:r>
              <w:rPr>
                <w:rFonts w:ascii="Times New Roman"/>
                <w:b w:val="false"/>
                <w:i w:val="false"/>
                <w:color w:val="000000"/>
                <w:sz w:val="20"/>
              </w:rPr>
              <w:t>2) кабели, проложенные горизонтально по конструкциям, стенам, перекрытиям, должны быть жестко закреплены в конечных точках, непосредственно у концевых заделок, с обеих сторон изгибов и у соединительных и стопорных муфт;</w:t>
            </w:r>
            <w:r>
              <w:br/>
            </w:r>
            <w:r>
              <w:rPr>
                <w:rFonts w:ascii="Times New Roman"/>
                <w:b w:val="false"/>
                <w:i w:val="false"/>
                <w:color w:val="000000"/>
                <w:sz w:val="20"/>
              </w:rPr>
              <w:t>
</w:t>
            </w:r>
            <w:r>
              <w:rPr>
                <w:rFonts w:ascii="Times New Roman"/>
                <w:b w:val="false"/>
                <w:i w:val="false"/>
                <w:color w:val="000000"/>
                <w:sz w:val="20"/>
              </w:rPr>
              <w:t>3) кабели, проложенные вертикально по конструкциям и стенам, должны быть закреплены так, чтобы была предотвращена деформация оболочек и не нарушались соединения жил в муфтах под действием собственного веса кабелей;</w:t>
            </w:r>
            <w:r>
              <w:br/>
            </w:r>
            <w:r>
              <w:rPr>
                <w:rFonts w:ascii="Times New Roman"/>
                <w:b w:val="false"/>
                <w:i w:val="false"/>
                <w:color w:val="000000"/>
                <w:sz w:val="20"/>
              </w:rPr>
              <w:t>
</w:t>
            </w:r>
            <w:r>
              <w:rPr>
                <w:rFonts w:ascii="Times New Roman"/>
                <w:b w:val="false"/>
                <w:i w:val="false"/>
                <w:color w:val="000000"/>
                <w:sz w:val="20"/>
              </w:rPr>
              <w:t>4) конструкции, на которые укладываются небронированные кабели, должны быть выполнены таким образом, чтобы была исключена возможность механического повреждения оболочек кабелей, в местах жесткого крепления оболочки этих кабелей должны быть предохранены от механических повреждений и коррозии при помощи эластичных прокладок;</w:t>
            </w:r>
            <w:r>
              <w:br/>
            </w:r>
            <w:r>
              <w:rPr>
                <w:rFonts w:ascii="Times New Roman"/>
                <w:b w:val="false"/>
                <w:i w:val="false"/>
                <w:color w:val="000000"/>
                <w:sz w:val="20"/>
              </w:rPr>
              <w:t>
</w:t>
            </w:r>
            <w:r>
              <w:rPr>
                <w:rFonts w:ascii="Times New Roman"/>
                <w:b w:val="false"/>
                <w:i w:val="false"/>
                <w:color w:val="000000"/>
                <w:sz w:val="20"/>
              </w:rPr>
              <w:t>5) кабели (в том числе бронированные), расположенные в местах, где возможны механические повреждения (передвижение автотранспорта, механизмов и грузов) доступность для посторонних лиц), должны быть защищены по высоте на 2 м от уровня пола или земли и на 0,3 м в земле;</w:t>
            </w:r>
            <w:r>
              <w:br/>
            </w:r>
            <w:r>
              <w:rPr>
                <w:rFonts w:ascii="Times New Roman"/>
                <w:b w:val="false"/>
                <w:i w:val="false"/>
                <w:color w:val="000000"/>
                <w:sz w:val="20"/>
              </w:rPr>
              <w:t>
</w:t>
            </w:r>
            <w:r>
              <w:rPr>
                <w:rFonts w:ascii="Times New Roman"/>
                <w:b w:val="false"/>
                <w:i w:val="false"/>
                <w:color w:val="000000"/>
                <w:sz w:val="20"/>
              </w:rPr>
              <w:t>6) при прокладке кабелей рядом с другими кабелями, находящимися в эксплуатации должны быть приняты меры для предотвращения повреждения последних;</w:t>
            </w:r>
            <w:r>
              <w:br/>
            </w:r>
            <w:r>
              <w:rPr>
                <w:rFonts w:ascii="Times New Roman"/>
                <w:b w:val="false"/>
                <w:i w:val="false"/>
                <w:color w:val="000000"/>
                <w:sz w:val="20"/>
              </w:rPr>
              <w:t xml:space="preserve">
7) кабели должны прокладываться на расстоянии от нагретых поверхностей, предотвращающем нагрев кабелей выше допустимого, при этом, должна предусматриваться защита кабелей от прорыва горячих веществ в местах установки задвижек и фланцевых соединений. </w:t>
            </w:r>
          </w:p>
          <w:bookmarkEnd w:id="53"/>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54"/>
          <w:p>
            <w:pPr>
              <w:spacing w:after="20"/>
              <w:ind w:left="20"/>
              <w:jc w:val="both"/>
            </w:pPr>
            <w:r>
              <w:rPr>
                <w:rFonts w:ascii="Times New Roman"/>
                <w:b w:val="false"/>
                <w:i w:val="false"/>
                <w:color w:val="000000"/>
                <w:sz w:val="20"/>
              </w:rPr>
              <w:t xml:space="preserve">
Выполнение при прокладке кабельных линий в производственных помещениях следующих требований: </w:t>
            </w:r>
            <w:r>
              <w:br/>
            </w:r>
            <w:r>
              <w:rPr>
                <w:rFonts w:ascii="Times New Roman"/>
                <w:b w:val="false"/>
                <w:i w:val="false"/>
                <w:color w:val="000000"/>
                <w:sz w:val="20"/>
              </w:rPr>
              <w:t>
</w:t>
            </w:r>
            <w:r>
              <w:rPr>
                <w:rFonts w:ascii="Times New Roman"/>
                <w:b w:val="false"/>
                <w:i w:val="false"/>
                <w:color w:val="000000"/>
                <w:sz w:val="20"/>
              </w:rPr>
              <w:t xml:space="preserve">1) кабели должны быть доступны для ремонта, а открыто проложенные - и для осмотра; </w:t>
            </w:r>
            <w:r>
              <w:br/>
            </w:r>
            <w:r>
              <w:rPr>
                <w:rFonts w:ascii="Times New Roman"/>
                <w:b w:val="false"/>
                <w:i w:val="false"/>
                <w:color w:val="000000"/>
                <w:sz w:val="20"/>
              </w:rPr>
              <w:t xml:space="preserve">
2) расстояние между параллельно проложенными силовыми кабелями и всякого рода трубопроводами, должно быть не менее 0,5 м, а между газопроводами и трубопроводами с горючими жидкостями - не менее 1 м. При меньших расстояниях сближения и при пересечениях кабели должны быть защищены от механических повреждений (металлическими трубами, кожухами) на всем участке сближения плюс по 0,5 м с каждой его стороны, а в необходимых случаях защищены от перегрева. </w:t>
            </w:r>
          </w:p>
          <w:bookmarkEnd w:id="54"/>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предварительного уведомления и согласования с местными исполнительными органами и государственным органом, осуществляющим руководство в сферах естественных монополий, и системным оператором при проектировании и строительстве дублирующих (шунтирующих) линий электропередачи и подстанций.</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основных сведений по всем участкам электрической сети с напряжением 35 кВ и выше содержащиеся в регистре базы данных, который ведет системный оператор.</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регистра базы данных, по сети 220 кВ и выше, согласованный с системным оператором, название участка при подключении к электрической сети нового участка во избежание дублирования.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в письменной форме пользователей сети не позднее, чем за восемь месяцев до установки электроустановок и где содержится рабочая схема с указанием новой электроустановки и ее идентификации.</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табличками и нанесение надписи на электроустановку с четким указанием ее идентификационных данных энергопередающей организацией и пользователем сети.</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суточных графиков на основании которых организуется Управление балансом мощности в ЕЭС Казахстана, при этом электростанции выполняют заданный суточный график нагрузки и вращающегося резерва, а пользователи сети не превышают свой заявленный почасовой график потребления активной мощности.</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журнала регионального диспетчерского центра, где фиксируется отклонение суточного графика пользователями сети.</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55"/>
          <w:p>
            <w:pPr>
              <w:spacing w:after="20"/>
              <w:ind w:left="20"/>
              <w:jc w:val="both"/>
            </w:pPr>
            <w:r>
              <w:rPr>
                <w:rFonts w:ascii="Times New Roman"/>
                <w:b w:val="false"/>
                <w:i w:val="false"/>
                <w:color w:val="000000"/>
                <w:sz w:val="20"/>
              </w:rPr>
              <w:t>
Наличие системы противоаварийной автоматики состоящих из подсистем, выполняющих следующие функции:</w:t>
            </w:r>
            <w:r>
              <w:br/>
            </w:r>
            <w:r>
              <w:rPr>
                <w:rFonts w:ascii="Times New Roman"/>
                <w:b w:val="false"/>
                <w:i w:val="false"/>
                <w:color w:val="000000"/>
                <w:sz w:val="20"/>
              </w:rPr>
              <w:t>
</w:t>
            </w:r>
            <w:r>
              <w:rPr>
                <w:rFonts w:ascii="Times New Roman"/>
                <w:b w:val="false"/>
                <w:i w:val="false"/>
                <w:color w:val="000000"/>
                <w:sz w:val="20"/>
              </w:rPr>
              <w:t>1) автоматическое предотвращение нарушения устойчивости;</w:t>
            </w:r>
            <w:r>
              <w:br/>
            </w:r>
            <w:r>
              <w:rPr>
                <w:rFonts w:ascii="Times New Roman"/>
                <w:b w:val="false"/>
                <w:i w:val="false"/>
                <w:color w:val="000000"/>
                <w:sz w:val="20"/>
              </w:rPr>
              <w:t>
</w:t>
            </w:r>
            <w:r>
              <w:rPr>
                <w:rFonts w:ascii="Times New Roman"/>
                <w:b w:val="false"/>
                <w:i w:val="false"/>
                <w:color w:val="000000"/>
                <w:sz w:val="20"/>
              </w:rPr>
              <w:t>2) автоматическая ликвидация асинхронного режима;</w:t>
            </w:r>
            <w:r>
              <w:br/>
            </w:r>
            <w:r>
              <w:rPr>
                <w:rFonts w:ascii="Times New Roman"/>
                <w:b w:val="false"/>
                <w:i w:val="false"/>
                <w:color w:val="000000"/>
                <w:sz w:val="20"/>
              </w:rPr>
              <w:t>
</w:t>
            </w:r>
            <w:r>
              <w:rPr>
                <w:rFonts w:ascii="Times New Roman"/>
                <w:b w:val="false"/>
                <w:i w:val="false"/>
                <w:color w:val="000000"/>
                <w:sz w:val="20"/>
              </w:rPr>
              <w:t>3) автоматическое ограничение повышения напряжения;</w:t>
            </w:r>
            <w:r>
              <w:br/>
            </w:r>
            <w:r>
              <w:rPr>
                <w:rFonts w:ascii="Times New Roman"/>
                <w:b w:val="false"/>
                <w:i w:val="false"/>
                <w:color w:val="000000"/>
                <w:sz w:val="20"/>
              </w:rPr>
              <w:t>
</w:t>
            </w:r>
            <w:r>
              <w:rPr>
                <w:rFonts w:ascii="Times New Roman"/>
                <w:b w:val="false"/>
                <w:i w:val="false"/>
                <w:color w:val="000000"/>
                <w:sz w:val="20"/>
              </w:rPr>
              <w:t>4) автоматическое ограничение снижения напряжения;</w:t>
            </w:r>
            <w:r>
              <w:br/>
            </w:r>
            <w:r>
              <w:rPr>
                <w:rFonts w:ascii="Times New Roman"/>
                <w:b w:val="false"/>
                <w:i w:val="false"/>
                <w:color w:val="000000"/>
                <w:sz w:val="20"/>
              </w:rPr>
              <w:t>
</w:t>
            </w:r>
            <w:r>
              <w:rPr>
                <w:rFonts w:ascii="Times New Roman"/>
                <w:b w:val="false"/>
                <w:i w:val="false"/>
                <w:color w:val="000000"/>
                <w:sz w:val="20"/>
              </w:rPr>
              <w:t>5) автоматическое ограничение снижения частоты;</w:t>
            </w:r>
            <w:r>
              <w:br/>
            </w:r>
            <w:r>
              <w:rPr>
                <w:rFonts w:ascii="Times New Roman"/>
                <w:b w:val="false"/>
                <w:i w:val="false"/>
                <w:color w:val="000000"/>
                <w:sz w:val="20"/>
              </w:rPr>
              <w:t>
</w:t>
            </w:r>
            <w:r>
              <w:rPr>
                <w:rFonts w:ascii="Times New Roman"/>
                <w:b w:val="false"/>
                <w:i w:val="false"/>
                <w:color w:val="000000"/>
                <w:sz w:val="20"/>
              </w:rPr>
              <w:t>6) автоматическое ограничение повышения частоты;</w:t>
            </w:r>
            <w:r>
              <w:br/>
            </w:r>
            <w:r>
              <w:rPr>
                <w:rFonts w:ascii="Times New Roman"/>
                <w:b w:val="false"/>
                <w:i w:val="false"/>
                <w:color w:val="000000"/>
                <w:sz w:val="20"/>
              </w:rPr>
              <w:t>
7) автоматическая разгрузка оборудования электроустановок.</w:t>
            </w:r>
          </w:p>
          <w:bookmarkEnd w:id="55"/>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специальной автоматики отключения нагрузки на объектах пользователей сети, находящихся в дефицитных энергоузлах, допускающих по характеру технологического процесса внезапный перерыв питания на время, достаточное для мобилизации резервов или введения ограничений у других пользователей сети, при этом для обеспечения надежности работы противоаварийной автоматики к специальной автоматике отключения нагрузки в первую очередь подключаются крупные пользователи сети, при недостаточности объема к специальной автоматике отключения нагрузки подключаются другие пользователи сети.</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устройствами автоматического ввода резерва, автоматического повторного включения ответственными пользователями сети, подключенные к специальной автоматике отключения нагрузки.</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двух комплектов защит, действующих без замедления при коротком замыкании в любой точке защищаемого участка для линий 500-1150 кВ.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неполнофазного режима на линиях 500-1150 кВ, а также ответственных линиях 220 кВ.</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всех ВЛ приборами для определения места повреждения, при этом на ВЛ осуществляется цифровая регистрация переходных процессов при коротком замыкании с записью доаварийного режима и регистрацией последовательности событий, в том числе срабатываний устройств релейной защиты и автоматики.</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системным оператором расчета и выбора уставок в части релейной защиты и автоматики, находящихся в его оперативном управлении, и производит согласование уставок в части релейной защиты и автоматики, находящихся в его оперативном ведении.</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положения взаимоотношения между диспетчерскими центрами (службами), договорам на оказание услуг по технической диспетчеризации, оказание услуг по передаче электрической энергии для регламентирования объемов и сроков представления системным оператором и пользователями сети информации по вопросам управления ЕЭС Казахстана, использования сетей.</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каналов связи и передачи данных телеметрии на диспетчерский центр системного оператора по двум независимым направлениям для подстанций напряжением 220 кВ, 500 кВ и 1150 кВ, энергопроизводящих организаций с установленной мощностью свыше 10 МВт, пользователей сети, потребителей электроэнергии, подключенных к сети напряжением 220 кВ и выше.</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56"/>
          <w:p>
            <w:pPr>
              <w:spacing w:after="20"/>
              <w:ind w:left="20"/>
              <w:jc w:val="both"/>
            </w:pPr>
            <w:r>
              <w:rPr>
                <w:rFonts w:ascii="Times New Roman"/>
                <w:b w:val="false"/>
                <w:i w:val="false"/>
                <w:color w:val="000000"/>
                <w:sz w:val="20"/>
              </w:rPr>
              <w:t>
Наличие прямых каналов связи и передачи данных телеметрии для оперативно-диспетчерского управления, обеспечивающие связь и обмен данными телеметрии между:</w:t>
            </w:r>
            <w:r>
              <w:br/>
            </w:r>
            <w:r>
              <w:rPr>
                <w:rFonts w:ascii="Times New Roman"/>
                <w:b w:val="false"/>
                <w:i w:val="false"/>
                <w:color w:val="000000"/>
                <w:sz w:val="20"/>
              </w:rPr>
              <w:t>
</w:t>
            </w:r>
            <w:r>
              <w:rPr>
                <w:rFonts w:ascii="Times New Roman"/>
                <w:b w:val="false"/>
                <w:i w:val="false"/>
                <w:color w:val="000000"/>
                <w:sz w:val="20"/>
              </w:rPr>
              <w:t>1) диспетчерским центром региональной электросетевой компании и подстанциями 35 кВ и выше, находящимися в оперативном управлении этих диспетчерских центров;</w:t>
            </w:r>
            <w:r>
              <w:br/>
            </w:r>
            <w:r>
              <w:rPr>
                <w:rFonts w:ascii="Times New Roman"/>
                <w:b w:val="false"/>
                <w:i w:val="false"/>
                <w:color w:val="000000"/>
                <w:sz w:val="20"/>
              </w:rPr>
              <w:t>
</w:t>
            </w:r>
            <w:r>
              <w:rPr>
                <w:rFonts w:ascii="Times New Roman"/>
                <w:b w:val="false"/>
                <w:i w:val="false"/>
                <w:color w:val="000000"/>
                <w:sz w:val="20"/>
              </w:rPr>
              <w:t>2) диспетчерским центром региональной электросетевой компании и диспетчерским центром пользователя сети или подстанции пользователя сети при отсутствии у него диспетчерского центра;</w:t>
            </w:r>
            <w:r>
              <w:br/>
            </w:r>
            <w:r>
              <w:rPr>
                <w:rFonts w:ascii="Times New Roman"/>
                <w:b w:val="false"/>
                <w:i w:val="false"/>
                <w:color w:val="000000"/>
                <w:sz w:val="20"/>
              </w:rPr>
              <w:t>
</w:t>
            </w:r>
            <w:r>
              <w:rPr>
                <w:rFonts w:ascii="Times New Roman"/>
                <w:b w:val="false"/>
                <w:i w:val="false"/>
                <w:color w:val="000000"/>
                <w:sz w:val="20"/>
              </w:rPr>
              <w:t>3) диспетчерским центром региональной электросетевой компанией и РДЦ (далее - региональный диспетчерский центр);</w:t>
            </w:r>
            <w:r>
              <w:br/>
            </w:r>
            <w:r>
              <w:rPr>
                <w:rFonts w:ascii="Times New Roman"/>
                <w:b w:val="false"/>
                <w:i w:val="false"/>
                <w:color w:val="000000"/>
                <w:sz w:val="20"/>
              </w:rPr>
              <w:t>
</w:t>
            </w:r>
            <w:r>
              <w:rPr>
                <w:rFonts w:ascii="Times New Roman"/>
                <w:b w:val="false"/>
                <w:i w:val="false"/>
                <w:color w:val="000000"/>
                <w:sz w:val="20"/>
              </w:rPr>
              <w:t>4) НДЦ СО (далее - национальный диспетчерский центр системного оператора) и РДЦ;</w:t>
            </w:r>
            <w:r>
              <w:br/>
            </w:r>
            <w:r>
              <w:rPr>
                <w:rFonts w:ascii="Times New Roman"/>
                <w:b w:val="false"/>
                <w:i w:val="false"/>
                <w:color w:val="000000"/>
                <w:sz w:val="20"/>
              </w:rPr>
              <w:t>
</w:t>
            </w:r>
            <w:r>
              <w:rPr>
                <w:rFonts w:ascii="Times New Roman"/>
                <w:b w:val="false"/>
                <w:i w:val="false"/>
                <w:color w:val="000000"/>
                <w:sz w:val="20"/>
              </w:rPr>
              <w:t>5) РДЦ и пользователями сети которые имеют смежные зоны управления;</w:t>
            </w:r>
            <w:r>
              <w:br/>
            </w:r>
            <w:r>
              <w:rPr>
                <w:rFonts w:ascii="Times New Roman"/>
                <w:b w:val="false"/>
                <w:i w:val="false"/>
                <w:color w:val="000000"/>
                <w:sz w:val="20"/>
              </w:rPr>
              <w:t>
</w:t>
            </w:r>
            <w:r>
              <w:rPr>
                <w:rFonts w:ascii="Times New Roman"/>
                <w:b w:val="false"/>
                <w:i w:val="false"/>
                <w:color w:val="000000"/>
                <w:sz w:val="20"/>
              </w:rPr>
              <w:t>6) РДЦ и диспетчерским центром пользователя сети или подстанциями пользователя сети при отсутствии диспетчерского центра;</w:t>
            </w:r>
            <w:r>
              <w:br/>
            </w:r>
            <w:r>
              <w:rPr>
                <w:rFonts w:ascii="Times New Roman"/>
                <w:b w:val="false"/>
                <w:i w:val="false"/>
                <w:color w:val="000000"/>
                <w:sz w:val="20"/>
              </w:rPr>
              <w:t>
7) НДЦ СО и диспетчерскими центрами энергосистем сопредельных государств.</w:t>
            </w:r>
          </w:p>
          <w:bookmarkEnd w:id="56"/>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эксплуатацию электроустановок потребителей при обнаружении недостатков в монтаже, отступлений от выданных технических условий, проектной документации и требований нормативно-технических документов.</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Ведения журналов учета работ технического обслуживания по видам оборудования, зданиям и сооружениям электрических сетей.</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ведомости основных параметров технического состояния электрических сетей по утвержденным формам, по результатам ремонта электрических сетей (в том числе результаты испытаний и измерений).</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технологических карт, разрабатываемые энергопередающими организациями, для подготовки и проведения работ по ремонту оборудования, зданий и сооружений электрических сетей.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станционных (подстанционных) номеров на баках трансформаторов и реакторов наружной установки, а также на дверях и внутренней поверхности трансформаторных пунктов и камер.</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маслоприемников, маслосборников, гравийных подсыпок, дренажей и маслоотводов.</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приемо-сдаточных испытаний заземляющих устройств электроустановок монтажной организацией.</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Комитет атомного и энергетического надзора и контроля в течение 15 календарных дней со дня принятия (увольнения) информации о вновь принятых/уволенных руководителях, подлежащих квалификационной проверке в государственном органе.</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8"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Субъективных критериях</w:t>
      </w:r>
      <w:r>
        <w:rPr>
          <w:rFonts w:ascii="Times New Roman"/>
          <w:b w:val="false"/>
          <w:i w:val="false"/>
          <w:color w:val="000000"/>
          <w:sz w:val="28"/>
        </w:rPr>
        <w:t xml:space="preserve"> оценки степени риска в отношении физических и юридических лиц: </w:t>
      </w:r>
    </w:p>
    <w:bookmarkEnd w:id="57"/>
    <w:bookmarkStart w:name="z229" w:id="58"/>
    <w:p>
      <w:pPr>
        <w:spacing w:after="0"/>
        <w:ind w:left="0"/>
        <w:jc w:val="both"/>
      </w:pPr>
      <w:r>
        <w:rPr>
          <w:rFonts w:ascii="Times New Roman"/>
          <w:b w:val="false"/>
          <w:i w:val="false"/>
          <w:color w:val="000000"/>
          <w:sz w:val="28"/>
        </w:rPr>
        <w:t>
      в разделе Результаты предыдущих проверок и профилактического контроля с посещением субъектов (объектов) контроля (степень тяжести устанавливается при несоблюдении нижеперечисленных требований):</w:t>
      </w:r>
    </w:p>
    <w:bookmarkEnd w:id="58"/>
    <w:bookmarkStart w:name="z230" w:id="59"/>
    <w:p>
      <w:pPr>
        <w:spacing w:after="0"/>
        <w:ind w:left="0"/>
        <w:jc w:val="both"/>
      </w:pPr>
      <w:r>
        <w:rPr>
          <w:rFonts w:ascii="Times New Roman"/>
          <w:b w:val="false"/>
          <w:i w:val="false"/>
          <w:color w:val="000000"/>
          <w:sz w:val="28"/>
        </w:rPr>
        <w:t>
      строку, порядковый номер 17, исключить;</w:t>
      </w:r>
    </w:p>
    <w:bookmarkEnd w:id="59"/>
    <w:bookmarkStart w:name="z231"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Проверочном листе</w:t>
      </w:r>
      <w:r>
        <w:rPr>
          <w:rFonts w:ascii="Times New Roman"/>
          <w:b w:val="false"/>
          <w:i w:val="false"/>
          <w:color w:val="000000"/>
          <w:sz w:val="28"/>
        </w:rPr>
        <w:t xml:space="preserve"> в области электроэнергетики в отношении энергопроизводящих организаций, утвержденном указанным совместным приказом:</w:t>
      </w:r>
    </w:p>
    <w:bookmarkEnd w:id="60"/>
    <w:bookmarkStart w:name="z232" w:id="61"/>
    <w:p>
      <w:pPr>
        <w:spacing w:after="0"/>
        <w:ind w:left="0"/>
        <w:jc w:val="both"/>
      </w:pPr>
      <w:r>
        <w:rPr>
          <w:rFonts w:ascii="Times New Roman"/>
          <w:b w:val="false"/>
          <w:i w:val="false"/>
          <w:color w:val="000000"/>
          <w:sz w:val="28"/>
        </w:rPr>
        <w:t>
      строку, порядковый номер 11, изложить в следующей редакции:</w:t>
      </w:r>
    </w:p>
    <w:bookmarkEnd w:id="61"/>
    <w:bookmarkStart w:name="z233" w:id="62"/>
    <w:p>
      <w:pPr>
        <w:spacing w:after="0"/>
        <w:ind w:left="0"/>
        <w:jc w:val="both"/>
      </w:pP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1096"/>
        <w:gridCol w:w="100"/>
        <w:gridCol w:w="100"/>
        <w:gridCol w:w="100"/>
        <w:gridCol w:w="100"/>
        <w:gridCol w:w="100"/>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предупреждения о прекращении (ограничении) поставки электрической энергии путем направления уведомления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в сроки не менее чем за 5 (пять) рабочих дня до прекращения поставки электрической энергии Потребителю (Потребителя, использующего электрическую энергию для бытовых нужд не менее чем за 30 (тридцать) календарных дней).</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5" w:id="63"/>
    <w:p>
      <w:pPr>
        <w:spacing w:after="0"/>
        <w:ind w:left="0"/>
        <w:jc w:val="both"/>
      </w:pPr>
      <w:r>
        <w:rPr>
          <w:rFonts w:ascii="Times New Roman"/>
          <w:b w:val="false"/>
          <w:i w:val="false"/>
          <w:color w:val="000000"/>
          <w:sz w:val="28"/>
        </w:rPr>
        <w:t>
      строку, порядковый номер 13, изложить в следующей редакции:</w:t>
      </w:r>
    </w:p>
    <w:bookmarkEnd w:id="63"/>
    <w:bookmarkStart w:name="z236"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9"/>
        <w:gridCol w:w="8661"/>
        <w:gridCol w:w="302"/>
        <w:gridCol w:w="302"/>
        <w:gridCol w:w="302"/>
        <w:gridCol w:w="302"/>
        <w:gridCol w:w="302"/>
      </w:tblGrid>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65"/>
          <w:p>
            <w:pPr>
              <w:spacing w:after="20"/>
              <w:ind w:left="20"/>
              <w:jc w:val="both"/>
            </w:pPr>
            <w:r>
              <w:rPr>
                <w:rFonts w:ascii="Times New Roman"/>
                <w:b w:val="false"/>
                <w:i w:val="false"/>
                <w:color w:val="000000"/>
                <w:sz w:val="20"/>
              </w:rPr>
              <w:t>
Наличие составленного акта потребителю электроэнергии о нарушении в произвольной форме и проведение перерасчета при следующих нарушениях:</w:t>
            </w:r>
            <w:r>
              <w:br/>
            </w:r>
            <w:r>
              <w:rPr>
                <w:rFonts w:ascii="Times New Roman"/>
                <w:b w:val="false"/>
                <w:i w:val="false"/>
                <w:color w:val="000000"/>
                <w:sz w:val="20"/>
              </w:rPr>
              <w:t>
</w:t>
            </w:r>
            <w:r>
              <w:rPr>
                <w:rFonts w:ascii="Times New Roman"/>
                <w:b w:val="false"/>
                <w:i w:val="false"/>
                <w:color w:val="000000"/>
                <w:sz w:val="20"/>
              </w:rPr>
              <w:t>1) самовольное подключение к сетям энергопроизводящей организации;</w:t>
            </w:r>
            <w:r>
              <w:br/>
            </w:r>
            <w:r>
              <w:rPr>
                <w:rFonts w:ascii="Times New Roman"/>
                <w:b w:val="false"/>
                <w:i w:val="false"/>
                <w:color w:val="000000"/>
                <w:sz w:val="20"/>
              </w:rPr>
              <w:t>
</w:t>
            </w:r>
            <w:r>
              <w:rPr>
                <w:rFonts w:ascii="Times New Roman"/>
                <w:b w:val="false"/>
                <w:i w:val="false"/>
                <w:color w:val="000000"/>
                <w:sz w:val="20"/>
              </w:rPr>
              <w:t>2) подключение приемников электроэнергии помимо прибора коммерческого учета электрической энергии (далее – ПКУ);</w:t>
            </w:r>
            <w:r>
              <w:br/>
            </w:r>
            <w:r>
              <w:rPr>
                <w:rFonts w:ascii="Times New Roman"/>
                <w:b w:val="false"/>
                <w:i w:val="false"/>
                <w:color w:val="000000"/>
                <w:sz w:val="20"/>
              </w:rPr>
              <w:t>
</w:t>
            </w:r>
            <w:r>
              <w:rPr>
                <w:rFonts w:ascii="Times New Roman"/>
                <w:b w:val="false"/>
                <w:i w:val="false"/>
                <w:color w:val="000000"/>
                <w:sz w:val="20"/>
              </w:rPr>
              <w:t>3) изменение схемы включения ПКУ, трансформаторов тока и напряжения;</w:t>
            </w:r>
            <w:r>
              <w:br/>
            </w:r>
            <w:r>
              <w:rPr>
                <w:rFonts w:ascii="Times New Roman"/>
                <w:b w:val="false"/>
                <w:i w:val="false"/>
                <w:color w:val="000000"/>
                <w:sz w:val="20"/>
              </w:rPr>
              <w:t>
</w:t>
            </w:r>
            <w:r>
              <w:rPr>
                <w:rFonts w:ascii="Times New Roman"/>
                <w:b w:val="false"/>
                <w:i w:val="false"/>
                <w:color w:val="000000"/>
                <w:sz w:val="20"/>
              </w:rPr>
              <w:t>4) искусственное торможение диска ПКУ;</w:t>
            </w:r>
            <w:r>
              <w:br/>
            </w:r>
            <w:r>
              <w:rPr>
                <w:rFonts w:ascii="Times New Roman"/>
                <w:b w:val="false"/>
                <w:i w:val="false"/>
                <w:color w:val="000000"/>
                <w:sz w:val="20"/>
              </w:rPr>
              <w:t>
5) установка приспособлений, искажающих показания ПКУ.</w:t>
            </w:r>
          </w:p>
          <w:bookmarkEnd w:id="65"/>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3" w:id="66"/>
    <w:p>
      <w:pPr>
        <w:spacing w:after="0"/>
        <w:ind w:left="0"/>
        <w:jc w:val="both"/>
      </w:pPr>
      <w:r>
        <w:rPr>
          <w:rFonts w:ascii="Times New Roman"/>
          <w:b w:val="false"/>
          <w:i w:val="false"/>
          <w:color w:val="000000"/>
          <w:sz w:val="28"/>
        </w:rPr>
        <w:t>
      строку, порядковый номер 22, изложить в следующей редакции:</w:t>
      </w:r>
    </w:p>
    <w:bookmarkEnd w:id="66"/>
    <w:bookmarkStart w:name="z244"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gridCol w:w="8490"/>
        <w:gridCol w:w="316"/>
        <w:gridCol w:w="316"/>
        <w:gridCol w:w="316"/>
        <w:gridCol w:w="316"/>
        <w:gridCol w:w="317"/>
      </w:tblGrid>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камнезащитных сооружений (камнезадерживающих сеток, камнеловок) в исправном состоянии и выполнение своевременной разгрузки от накопившихся камней.</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области электроэнергетики в отношении энергопроизводящих организаций, утвержденный указанным совместным приказом, дополнить строками, порядковые номера 441, 442, 443, 444, 445, 446, 447, 448, 449, 450, 451, 452, 453, 454, 455, 456, 457, 458, 459, 460, 461, 462, 463, 464, 465, 466, 467, 468, 469, 470, 471, 472, 473, 474, 475, 476, 477, 478, 479, 480, 481, 482, 483, 484, 485, 486, 487, 488, 489, 490, 491, 492, 493, 494, 495, 496, 497, 498, 499, 500, 501, 502, 503, 504, 505, 506, 507, 508, 509, 510, 511, 512, 513, 514, 515, 516, 517, 518, 519, 520, 521, 522, 523, 524, 525, 526, 527, 528, 529, 530, 531, 532, 533 и 534, следующего содержания: </w:t>
      </w:r>
    </w:p>
    <w:bookmarkStart w:name="z247" w:id="68"/>
    <w:p>
      <w:pPr>
        <w:spacing w:after="0"/>
        <w:ind w:left="0"/>
        <w:jc w:val="both"/>
      </w:pPr>
      <w:r>
        <w:rPr>
          <w:rFonts w:ascii="Times New Roman"/>
          <w:b w:val="false"/>
          <w:i w:val="false"/>
          <w:color w:val="000000"/>
          <w:sz w:val="28"/>
        </w:rPr>
        <w:t>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1081"/>
        <w:gridCol w:w="83"/>
        <w:gridCol w:w="83"/>
        <w:gridCol w:w="84"/>
        <w:gridCol w:w="84"/>
        <w:gridCol w:w="84"/>
      </w:tblGrid>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производственных зданий и сооружений энергообъекта.</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графика наружного осмотра мазутопроводов и арматуры – не реже 1 раза в год, а в пределах котельного отделения – не реже 1 раза в квартал и выборочная ревизия арматуры – не реже 1 раза в 4 года.</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графика проверки срабатывания автоматических устройств включения резервных насосов, по графику, но не реже 1 раза в квартал.</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утвержденного графика обхода трассы подземных газопроводов, находящихся на территории электростанции.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измерительных приборов, регуляторов, устройств сигнализации, защиты и блокировки на пылеприготовительных установках электростанции.</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графика пуска котла при растопке котла из различных тепловых состояний.</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обмуровки котлов в исправном состоянии. При температуре окружающего воздуха 25 </w:t>
            </w:r>
            <w:r>
              <w:rPr>
                <w:rFonts w:ascii="Times New Roman"/>
                <w:b w:val="false"/>
                <w:i w:val="false"/>
                <w:color w:val="000000"/>
                <w:vertAlign w:val="superscript"/>
              </w:rPr>
              <w:t>0С</w:t>
            </w:r>
            <w:r>
              <w:rPr>
                <w:rFonts w:ascii="Times New Roman"/>
                <w:b w:val="false"/>
                <w:i w:val="false"/>
                <w:color w:val="000000"/>
                <w:sz w:val="20"/>
              </w:rPr>
              <w:t xml:space="preserve"> температура на поверхности обмуровки обеспечивается на уровне более 45 0С.</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опломбировки в рабочем положении запорной арматуры, устанавливаемой на линиях системы смазки, регулирования и уплотнений генератора, ошибочное переключение которой может привести к останову или повреждению оборудования.</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резервных питательных насосов, а также насосных агрегатов, находящихся в автоматическом резерве.</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проведения проверки автоматического включения резервных питательных насосов, а также других насосных агрегатов, но не реже 1 раза в месяц.</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мероприятий против обледенения воздушных фильтров и проточной части компрессоров газотурбинных установок (далее – ГТУ).</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абсолютной плотности стопорных и регулирующих топливных клапанов ГТУ.</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опломбировки в рабочем положении маховиков задвижек и клапанов, установленных на маслопроводах до и после маслоохладителей, на линиях всасывания и напора резервных и аварийных маслонасосов и на линиях аварийного слива масла из маслобаков ГТУ, до и после выносных фильтров, в схеме уплотнений вала генератора.</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69"/>
          <w:p>
            <w:pPr>
              <w:spacing w:after="20"/>
              <w:ind w:left="20"/>
              <w:jc w:val="both"/>
            </w:pPr>
            <w:r>
              <w:rPr>
                <w:rFonts w:ascii="Times New Roman"/>
                <w:b w:val="false"/>
                <w:i w:val="false"/>
                <w:color w:val="000000"/>
                <w:sz w:val="20"/>
              </w:rPr>
              <w:t>
Обеспечение соответствия качества пара прямоточных котлов следующим нормам:</w:t>
            </w:r>
            <w:r>
              <w:br/>
            </w:r>
            <w:r>
              <w:rPr>
                <w:rFonts w:ascii="Times New Roman"/>
                <w:b w:val="false"/>
                <w:i w:val="false"/>
                <w:color w:val="000000"/>
                <w:sz w:val="20"/>
              </w:rPr>
              <w:t>
</w:t>
            </w:r>
            <w:r>
              <w:rPr>
                <w:rFonts w:ascii="Times New Roman"/>
                <w:b w:val="false"/>
                <w:i w:val="false"/>
                <w:color w:val="000000"/>
                <w:sz w:val="20"/>
              </w:rPr>
              <w:t>- Соединения натрия – не более 5 мкг/дм3;</w:t>
            </w:r>
            <w:r>
              <w:br/>
            </w:r>
            <w:r>
              <w:rPr>
                <w:rFonts w:ascii="Times New Roman"/>
                <w:b w:val="false"/>
                <w:i w:val="false"/>
                <w:color w:val="000000"/>
                <w:sz w:val="20"/>
              </w:rPr>
              <w:t>
</w:t>
            </w:r>
            <w:r>
              <w:rPr>
                <w:rFonts w:ascii="Times New Roman"/>
                <w:b w:val="false"/>
                <w:i w:val="false"/>
                <w:color w:val="000000"/>
                <w:sz w:val="20"/>
              </w:rPr>
              <w:t>- Кремниевая кислота – не более 15 мкг/дм3;</w:t>
            </w:r>
            <w:r>
              <w:br/>
            </w:r>
            <w:r>
              <w:rPr>
                <w:rFonts w:ascii="Times New Roman"/>
                <w:b w:val="false"/>
                <w:i w:val="false"/>
                <w:color w:val="000000"/>
                <w:sz w:val="20"/>
              </w:rPr>
              <w:t>
</w:t>
            </w:r>
            <w:r>
              <w:rPr>
                <w:rFonts w:ascii="Times New Roman"/>
                <w:b w:val="false"/>
                <w:i w:val="false"/>
                <w:color w:val="000000"/>
                <w:sz w:val="20"/>
              </w:rPr>
              <w:t>- Удельная электрическая проводимость – не более 0,3 мкСм/см;</w:t>
            </w:r>
            <w:r>
              <w:br/>
            </w:r>
            <w:r>
              <w:rPr>
                <w:rFonts w:ascii="Times New Roman"/>
                <w:b w:val="false"/>
                <w:i w:val="false"/>
                <w:color w:val="000000"/>
                <w:sz w:val="20"/>
              </w:rPr>
              <w:t>
</w:t>
            </w:r>
            <w:r>
              <w:rPr>
                <w:rFonts w:ascii="Times New Roman"/>
                <w:b w:val="false"/>
                <w:i w:val="false"/>
                <w:color w:val="000000"/>
                <w:sz w:val="20"/>
              </w:rPr>
              <w:t>- рН – не менее....7,5;</w:t>
            </w:r>
            <w:r>
              <w:br/>
            </w:r>
            <w:r>
              <w:rPr>
                <w:rFonts w:ascii="Times New Roman"/>
                <w:b w:val="false"/>
                <w:i w:val="false"/>
                <w:color w:val="000000"/>
                <w:sz w:val="20"/>
              </w:rPr>
              <w:t>
При нейтрально-кислородном водно-химическом режиме – не менее 6,5.</w:t>
            </w:r>
          </w:p>
          <w:bookmarkEnd w:id="69"/>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70"/>
          <w:p>
            <w:pPr>
              <w:spacing w:after="20"/>
              <w:ind w:left="20"/>
              <w:jc w:val="both"/>
            </w:pPr>
            <w:r>
              <w:rPr>
                <w:rFonts w:ascii="Times New Roman"/>
                <w:b w:val="false"/>
                <w:i w:val="false"/>
                <w:color w:val="000000"/>
                <w:sz w:val="20"/>
              </w:rPr>
              <w:t>
Обеспечение соответствия качества питательной воды прямоточных котлов следующим нормам:</w:t>
            </w:r>
            <w:r>
              <w:br/>
            </w:r>
            <w:r>
              <w:rPr>
                <w:rFonts w:ascii="Times New Roman"/>
                <w:b w:val="false"/>
                <w:i w:val="false"/>
                <w:color w:val="000000"/>
                <w:sz w:val="20"/>
              </w:rPr>
              <w:t>
</w:t>
            </w:r>
            <w:r>
              <w:rPr>
                <w:rFonts w:ascii="Times New Roman"/>
                <w:b w:val="false"/>
                <w:i w:val="false"/>
                <w:color w:val="000000"/>
                <w:sz w:val="20"/>
              </w:rPr>
              <w:t>- общая жесткость – не более 0,2 мкг-экв/дм3;</w:t>
            </w:r>
            <w:r>
              <w:br/>
            </w:r>
            <w:r>
              <w:rPr>
                <w:rFonts w:ascii="Times New Roman"/>
                <w:b w:val="false"/>
                <w:i w:val="false"/>
                <w:color w:val="000000"/>
                <w:sz w:val="20"/>
              </w:rPr>
              <w:t>
</w:t>
            </w:r>
            <w:r>
              <w:rPr>
                <w:rFonts w:ascii="Times New Roman"/>
                <w:b w:val="false"/>
                <w:i w:val="false"/>
                <w:color w:val="000000"/>
                <w:sz w:val="20"/>
              </w:rPr>
              <w:t>- соединения натрия – не более 5 мкг/дм3;</w:t>
            </w:r>
            <w:r>
              <w:br/>
            </w:r>
            <w:r>
              <w:rPr>
                <w:rFonts w:ascii="Times New Roman"/>
                <w:b w:val="false"/>
                <w:i w:val="false"/>
                <w:color w:val="000000"/>
                <w:sz w:val="20"/>
              </w:rPr>
              <w:t>
</w:t>
            </w:r>
            <w:r>
              <w:rPr>
                <w:rFonts w:ascii="Times New Roman"/>
                <w:b w:val="false"/>
                <w:i w:val="false"/>
                <w:color w:val="000000"/>
                <w:sz w:val="20"/>
              </w:rPr>
              <w:t>- кремниевая кислота – не более 15 мкг/дм3;</w:t>
            </w:r>
            <w:r>
              <w:br/>
            </w:r>
            <w:r>
              <w:rPr>
                <w:rFonts w:ascii="Times New Roman"/>
                <w:b w:val="false"/>
                <w:i w:val="false"/>
                <w:color w:val="000000"/>
                <w:sz w:val="20"/>
              </w:rPr>
              <w:t>
</w:t>
            </w:r>
            <w:r>
              <w:rPr>
                <w:rFonts w:ascii="Times New Roman"/>
                <w:b w:val="false"/>
                <w:i w:val="false"/>
                <w:color w:val="000000"/>
                <w:sz w:val="20"/>
              </w:rPr>
              <w:t>- соединения железа – не более 10 мкг/дм3;</w:t>
            </w:r>
            <w:r>
              <w:br/>
            </w:r>
            <w:r>
              <w:rPr>
                <w:rFonts w:ascii="Times New Roman"/>
                <w:b w:val="false"/>
                <w:i w:val="false"/>
                <w:color w:val="000000"/>
                <w:sz w:val="20"/>
              </w:rPr>
              <w:t>
</w:t>
            </w:r>
            <w:r>
              <w:rPr>
                <w:rFonts w:ascii="Times New Roman"/>
                <w:b w:val="false"/>
                <w:i w:val="false"/>
                <w:color w:val="000000"/>
                <w:sz w:val="20"/>
              </w:rPr>
              <w:t>- растворенный кислород при кислородных режимах 100-400 мкг/дм3;</w:t>
            </w:r>
            <w:r>
              <w:br/>
            </w:r>
            <w:r>
              <w:rPr>
                <w:rFonts w:ascii="Times New Roman"/>
                <w:b w:val="false"/>
                <w:i w:val="false"/>
                <w:color w:val="000000"/>
                <w:sz w:val="20"/>
              </w:rPr>
              <w:t>
</w:t>
            </w:r>
            <w:r>
              <w:rPr>
                <w:rFonts w:ascii="Times New Roman"/>
                <w:b w:val="false"/>
                <w:i w:val="false"/>
                <w:color w:val="000000"/>
                <w:sz w:val="20"/>
              </w:rPr>
              <w:t>- удельная электрическая проводимость – не более 0,3мкСм/см;</w:t>
            </w:r>
            <w:r>
              <w:br/>
            </w:r>
            <w:r>
              <w:rPr>
                <w:rFonts w:ascii="Times New Roman"/>
                <w:b w:val="false"/>
                <w:i w:val="false"/>
                <w:color w:val="000000"/>
                <w:sz w:val="20"/>
              </w:rPr>
              <w:t>
</w:t>
            </w:r>
            <w:r>
              <w:rPr>
                <w:rFonts w:ascii="Times New Roman"/>
                <w:b w:val="false"/>
                <w:i w:val="false"/>
                <w:color w:val="000000"/>
                <w:sz w:val="20"/>
              </w:rPr>
              <w:t>- соединения меди в воде перед деаэратором – не более 5 мкг/дм3;</w:t>
            </w:r>
            <w:r>
              <w:br/>
            </w:r>
            <w:r>
              <w:rPr>
                <w:rFonts w:ascii="Times New Roman"/>
                <w:b w:val="false"/>
                <w:i w:val="false"/>
                <w:color w:val="000000"/>
                <w:sz w:val="20"/>
              </w:rPr>
              <w:t>
</w:t>
            </w:r>
            <w:r>
              <w:rPr>
                <w:rFonts w:ascii="Times New Roman"/>
                <w:b w:val="false"/>
                <w:i w:val="false"/>
                <w:color w:val="000000"/>
                <w:sz w:val="20"/>
              </w:rPr>
              <w:t>- растворенный кислород в воде после деаэратора – не более 10 мкг/ дм3;</w:t>
            </w:r>
            <w:r>
              <w:br/>
            </w:r>
            <w:r>
              <w:rPr>
                <w:rFonts w:ascii="Times New Roman"/>
                <w:b w:val="false"/>
                <w:i w:val="false"/>
                <w:color w:val="000000"/>
                <w:sz w:val="20"/>
              </w:rPr>
              <w:t>
</w:t>
            </w:r>
            <w:r>
              <w:rPr>
                <w:rFonts w:ascii="Times New Roman"/>
                <w:b w:val="false"/>
                <w:i w:val="false"/>
                <w:color w:val="000000"/>
                <w:sz w:val="20"/>
              </w:rPr>
              <w:t>- значения рН при режиме:</w:t>
            </w:r>
            <w:r>
              <w:br/>
            </w:r>
            <w:r>
              <w:rPr>
                <w:rFonts w:ascii="Times New Roman"/>
                <w:b w:val="false"/>
                <w:i w:val="false"/>
                <w:color w:val="000000"/>
                <w:sz w:val="20"/>
              </w:rPr>
              <w:t>
</w:t>
            </w:r>
            <w:r>
              <w:rPr>
                <w:rFonts w:ascii="Times New Roman"/>
                <w:b w:val="false"/>
                <w:i w:val="false"/>
                <w:color w:val="000000"/>
                <w:sz w:val="20"/>
              </w:rPr>
              <w:t>гидразинно-аммиачном - 9,1+0,</w:t>
            </w:r>
            <w:r>
              <w:br/>
            </w:r>
            <w:r>
              <w:rPr>
                <w:rFonts w:ascii="Times New Roman"/>
                <w:b w:val="false"/>
                <w:i w:val="false"/>
                <w:color w:val="000000"/>
                <w:sz w:val="20"/>
              </w:rPr>
              <w:t>
</w:t>
            </w:r>
            <w:r>
              <w:rPr>
                <w:rFonts w:ascii="Times New Roman"/>
                <w:b w:val="false"/>
                <w:i w:val="false"/>
                <w:color w:val="000000"/>
                <w:sz w:val="20"/>
              </w:rPr>
              <w:t>гидразинном - 7,7+0,2</w:t>
            </w:r>
            <w:r>
              <w:br/>
            </w:r>
            <w:r>
              <w:rPr>
                <w:rFonts w:ascii="Times New Roman"/>
                <w:b w:val="false"/>
                <w:i w:val="false"/>
                <w:color w:val="000000"/>
                <w:sz w:val="20"/>
              </w:rPr>
              <w:t>
</w:t>
            </w:r>
            <w:r>
              <w:rPr>
                <w:rFonts w:ascii="Times New Roman"/>
                <w:b w:val="false"/>
                <w:i w:val="false"/>
                <w:color w:val="000000"/>
                <w:sz w:val="20"/>
              </w:rPr>
              <w:t>кислородно-аммиачном - 8,0+0,5</w:t>
            </w:r>
            <w:r>
              <w:br/>
            </w:r>
            <w:r>
              <w:rPr>
                <w:rFonts w:ascii="Times New Roman"/>
                <w:b w:val="false"/>
                <w:i w:val="false"/>
                <w:color w:val="000000"/>
                <w:sz w:val="20"/>
              </w:rPr>
              <w:t>
</w:t>
            </w:r>
            <w:r>
              <w:rPr>
                <w:rFonts w:ascii="Times New Roman"/>
                <w:b w:val="false"/>
                <w:i w:val="false"/>
                <w:color w:val="000000"/>
                <w:sz w:val="20"/>
              </w:rPr>
              <w:t>нейтрально-кислородном - 7,0+0,5</w:t>
            </w:r>
            <w:r>
              <w:br/>
            </w:r>
            <w:r>
              <w:rPr>
                <w:rFonts w:ascii="Times New Roman"/>
                <w:b w:val="false"/>
                <w:i w:val="false"/>
                <w:color w:val="000000"/>
                <w:sz w:val="20"/>
              </w:rPr>
              <w:t>
</w:t>
            </w:r>
            <w:r>
              <w:rPr>
                <w:rFonts w:ascii="Times New Roman"/>
                <w:b w:val="false"/>
                <w:i w:val="false"/>
                <w:color w:val="000000"/>
                <w:sz w:val="20"/>
              </w:rPr>
              <w:t>- гидразин, мкг/дм3, при режиме:</w:t>
            </w:r>
            <w:r>
              <w:br/>
            </w:r>
            <w:r>
              <w:rPr>
                <w:rFonts w:ascii="Times New Roman"/>
                <w:b w:val="false"/>
                <w:i w:val="false"/>
                <w:color w:val="000000"/>
                <w:sz w:val="20"/>
              </w:rPr>
              <w:t>
</w:t>
            </w:r>
            <w:r>
              <w:rPr>
                <w:rFonts w:ascii="Times New Roman"/>
                <w:b w:val="false"/>
                <w:i w:val="false"/>
                <w:color w:val="000000"/>
                <w:sz w:val="20"/>
              </w:rPr>
              <w:t>гидразинно-аммиачном - 20-60</w:t>
            </w:r>
            <w:r>
              <w:br/>
            </w:r>
            <w:r>
              <w:rPr>
                <w:rFonts w:ascii="Times New Roman"/>
                <w:b w:val="false"/>
                <w:i w:val="false"/>
                <w:color w:val="000000"/>
                <w:sz w:val="20"/>
              </w:rPr>
              <w:t>
</w:t>
            </w:r>
            <w:r>
              <w:rPr>
                <w:rFonts w:ascii="Times New Roman"/>
                <w:b w:val="false"/>
                <w:i w:val="false"/>
                <w:color w:val="000000"/>
                <w:sz w:val="20"/>
              </w:rPr>
              <w:t>гидразинном - 80-100</w:t>
            </w:r>
            <w:r>
              <w:br/>
            </w:r>
            <w:r>
              <w:rPr>
                <w:rFonts w:ascii="Times New Roman"/>
                <w:b w:val="false"/>
                <w:i w:val="false"/>
                <w:color w:val="000000"/>
                <w:sz w:val="20"/>
              </w:rPr>
              <w:t>
</w:t>
            </w:r>
            <w:r>
              <w:rPr>
                <w:rFonts w:ascii="Times New Roman"/>
                <w:b w:val="false"/>
                <w:i w:val="false"/>
                <w:color w:val="000000"/>
                <w:sz w:val="20"/>
              </w:rPr>
              <w:t>пуска и останова до – 3000</w:t>
            </w:r>
            <w:r>
              <w:br/>
            </w:r>
            <w:r>
              <w:rPr>
                <w:rFonts w:ascii="Times New Roman"/>
                <w:b w:val="false"/>
                <w:i w:val="false"/>
                <w:color w:val="000000"/>
                <w:sz w:val="20"/>
              </w:rPr>
              <w:t>
- содержание нефтепродуктов (до конденсатоочистки) – не более 0,1 мкг/дм3.</w:t>
            </w:r>
          </w:p>
          <w:bookmarkEnd w:id="70"/>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71"/>
          <w:p>
            <w:pPr>
              <w:spacing w:after="20"/>
              <w:ind w:left="20"/>
              <w:jc w:val="both"/>
            </w:pPr>
            <w:r>
              <w:rPr>
                <w:rFonts w:ascii="Times New Roman"/>
                <w:b w:val="false"/>
                <w:i w:val="false"/>
                <w:color w:val="000000"/>
                <w:sz w:val="20"/>
              </w:rPr>
              <w:t>
Обеспечение соответствия качества насыщенного и перегретого пара котлов с естественной циркуляцией для теплоэлектроцентралей следующим нормам:</w:t>
            </w:r>
            <w:r>
              <w:br/>
            </w:r>
            <w:r>
              <w:rPr>
                <w:rFonts w:ascii="Times New Roman"/>
                <w:b w:val="false"/>
                <w:i w:val="false"/>
                <w:color w:val="000000"/>
                <w:sz w:val="20"/>
              </w:rPr>
              <w:t>
</w:t>
            </w:r>
            <w:r>
              <w:rPr>
                <w:rFonts w:ascii="Times New Roman"/>
                <w:b w:val="false"/>
                <w:i w:val="false"/>
                <w:color w:val="000000"/>
                <w:sz w:val="20"/>
              </w:rPr>
              <w:t>- содержание соединений натрия, мкг/дм3, не более:</w:t>
            </w:r>
            <w:r>
              <w:br/>
            </w:r>
            <w:r>
              <w:rPr>
                <w:rFonts w:ascii="Times New Roman"/>
                <w:b w:val="false"/>
                <w:i w:val="false"/>
                <w:color w:val="000000"/>
                <w:sz w:val="20"/>
              </w:rPr>
              <w:t>
</w:t>
            </w:r>
            <w:r>
              <w:rPr>
                <w:rFonts w:ascii="Times New Roman"/>
                <w:b w:val="false"/>
                <w:i w:val="false"/>
                <w:color w:val="000000"/>
                <w:sz w:val="20"/>
              </w:rPr>
              <w:t>при давлении за котлом 40 кгс/cм2 – 100;</w:t>
            </w:r>
            <w:r>
              <w:br/>
            </w:r>
            <w:r>
              <w:rPr>
                <w:rFonts w:ascii="Times New Roman"/>
                <w:b w:val="false"/>
                <w:i w:val="false"/>
                <w:color w:val="000000"/>
                <w:sz w:val="20"/>
              </w:rPr>
              <w:t>
</w:t>
            </w:r>
            <w:r>
              <w:rPr>
                <w:rFonts w:ascii="Times New Roman"/>
                <w:b w:val="false"/>
                <w:i w:val="false"/>
                <w:color w:val="000000"/>
                <w:sz w:val="20"/>
              </w:rPr>
              <w:t>при давлении за котлом 100 кгс/cм2 – 25;</w:t>
            </w:r>
            <w:r>
              <w:br/>
            </w:r>
            <w:r>
              <w:rPr>
                <w:rFonts w:ascii="Times New Roman"/>
                <w:b w:val="false"/>
                <w:i w:val="false"/>
                <w:color w:val="000000"/>
                <w:sz w:val="20"/>
              </w:rPr>
              <w:t>
</w:t>
            </w:r>
            <w:r>
              <w:rPr>
                <w:rFonts w:ascii="Times New Roman"/>
                <w:b w:val="false"/>
                <w:i w:val="false"/>
                <w:color w:val="000000"/>
                <w:sz w:val="20"/>
              </w:rPr>
              <w:t>при давлении за котлом 140 кгс/cм2 – 5;</w:t>
            </w:r>
            <w:r>
              <w:br/>
            </w:r>
            <w:r>
              <w:rPr>
                <w:rFonts w:ascii="Times New Roman"/>
                <w:b w:val="false"/>
                <w:i w:val="false"/>
                <w:color w:val="000000"/>
                <w:sz w:val="20"/>
              </w:rPr>
              <w:t>
</w:t>
            </w:r>
            <w:r>
              <w:rPr>
                <w:rFonts w:ascii="Times New Roman"/>
                <w:b w:val="false"/>
                <w:i w:val="false"/>
                <w:color w:val="000000"/>
                <w:sz w:val="20"/>
              </w:rPr>
              <w:t>- содержание кремниевой кислоты для котлов давлением 70 кгс/см2 и выше не более 25 мкг/дм3;</w:t>
            </w:r>
            <w:r>
              <w:br/>
            </w:r>
            <w:r>
              <w:rPr>
                <w:rFonts w:ascii="Times New Roman"/>
                <w:b w:val="false"/>
                <w:i w:val="false"/>
                <w:color w:val="000000"/>
                <w:sz w:val="20"/>
              </w:rPr>
              <w:t>
</w:t>
            </w:r>
            <w:r>
              <w:rPr>
                <w:rFonts w:ascii="Times New Roman"/>
                <w:b w:val="false"/>
                <w:i w:val="false"/>
                <w:color w:val="000000"/>
                <w:sz w:val="20"/>
              </w:rPr>
              <w:t>- значение рН для котлов всех давлений не менее 7,5;</w:t>
            </w:r>
            <w:r>
              <w:br/>
            </w:r>
            <w:r>
              <w:rPr>
                <w:rFonts w:ascii="Times New Roman"/>
                <w:b w:val="false"/>
                <w:i w:val="false"/>
                <w:color w:val="000000"/>
                <w:sz w:val="20"/>
              </w:rPr>
              <w:t>
</w:t>
            </w:r>
            <w:r>
              <w:rPr>
                <w:rFonts w:ascii="Times New Roman"/>
                <w:b w:val="false"/>
                <w:i w:val="false"/>
                <w:color w:val="000000"/>
                <w:sz w:val="20"/>
              </w:rPr>
              <w:t>- удельная электрическая проводимость должна быть:</w:t>
            </w:r>
            <w:r>
              <w:br/>
            </w:r>
            <w:r>
              <w:rPr>
                <w:rFonts w:ascii="Times New Roman"/>
                <w:b w:val="false"/>
                <w:i w:val="false"/>
                <w:color w:val="000000"/>
                <w:sz w:val="20"/>
              </w:rPr>
              <w:t>
</w:t>
            </w:r>
            <w:r>
              <w:rPr>
                <w:rFonts w:ascii="Times New Roman"/>
                <w:b w:val="false"/>
                <w:i w:val="false"/>
                <w:color w:val="000000"/>
                <w:sz w:val="20"/>
              </w:rPr>
              <w:t>для котлов давлением 100 кгс/см2 не более 0,5 мкСм/см;</w:t>
            </w:r>
            <w:r>
              <w:br/>
            </w:r>
            <w:r>
              <w:rPr>
                <w:rFonts w:ascii="Times New Roman"/>
                <w:b w:val="false"/>
                <w:i w:val="false"/>
                <w:color w:val="000000"/>
                <w:sz w:val="20"/>
              </w:rPr>
              <w:t>
</w:t>
            </w:r>
            <w:r>
              <w:rPr>
                <w:rFonts w:ascii="Times New Roman"/>
                <w:b w:val="false"/>
                <w:i w:val="false"/>
                <w:color w:val="000000"/>
                <w:sz w:val="20"/>
              </w:rPr>
              <w:t>для дегазированной пробы или 1,5 мкСм/см для Н-катионированной пробы;</w:t>
            </w:r>
            <w:r>
              <w:br/>
            </w:r>
            <w:r>
              <w:rPr>
                <w:rFonts w:ascii="Times New Roman"/>
                <w:b w:val="false"/>
                <w:i w:val="false"/>
                <w:color w:val="000000"/>
                <w:sz w:val="20"/>
              </w:rPr>
              <w:t>
для котлов давлением 140 кгс/см2 (13,8 МПа) не более 0,3 мкСм/см для дегазированной пробы или 1 мкСм/см для Н-катионированной пробы.</w:t>
            </w:r>
          </w:p>
          <w:bookmarkEnd w:id="71"/>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72"/>
          <w:p>
            <w:pPr>
              <w:spacing w:after="20"/>
              <w:ind w:left="20"/>
              <w:jc w:val="both"/>
            </w:pPr>
            <w:r>
              <w:rPr>
                <w:rFonts w:ascii="Times New Roman"/>
                <w:b w:val="false"/>
                <w:i w:val="false"/>
                <w:color w:val="000000"/>
                <w:sz w:val="20"/>
              </w:rPr>
              <w:t>
Обеспечение соответствия качества насыщенного и перегретого пара котлов с естественной циркуляцией для государственной районной электростанции следующим нормам:</w:t>
            </w:r>
            <w:r>
              <w:br/>
            </w:r>
            <w:r>
              <w:rPr>
                <w:rFonts w:ascii="Times New Roman"/>
                <w:b w:val="false"/>
                <w:i w:val="false"/>
                <w:color w:val="000000"/>
                <w:sz w:val="20"/>
              </w:rPr>
              <w:t>
</w:t>
            </w:r>
            <w:r>
              <w:rPr>
                <w:rFonts w:ascii="Times New Roman"/>
                <w:b w:val="false"/>
                <w:i w:val="false"/>
                <w:color w:val="000000"/>
                <w:sz w:val="20"/>
              </w:rPr>
              <w:t>- содержание соединений натрия, мкг/дм3, не более:</w:t>
            </w:r>
            <w:r>
              <w:br/>
            </w:r>
            <w:r>
              <w:rPr>
                <w:rFonts w:ascii="Times New Roman"/>
                <w:b w:val="false"/>
                <w:i w:val="false"/>
                <w:color w:val="000000"/>
                <w:sz w:val="20"/>
              </w:rPr>
              <w:t>
</w:t>
            </w:r>
            <w:r>
              <w:rPr>
                <w:rFonts w:ascii="Times New Roman"/>
                <w:b w:val="false"/>
                <w:i w:val="false"/>
                <w:color w:val="000000"/>
                <w:sz w:val="20"/>
              </w:rPr>
              <w:t>при давлении за котлом 40 кгс/cм2 – 60;</w:t>
            </w:r>
            <w:r>
              <w:br/>
            </w:r>
            <w:r>
              <w:rPr>
                <w:rFonts w:ascii="Times New Roman"/>
                <w:b w:val="false"/>
                <w:i w:val="false"/>
                <w:color w:val="000000"/>
                <w:sz w:val="20"/>
              </w:rPr>
              <w:t>
</w:t>
            </w:r>
            <w:r>
              <w:rPr>
                <w:rFonts w:ascii="Times New Roman"/>
                <w:b w:val="false"/>
                <w:i w:val="false"/>
                <w:color w:val="000000"/>
                <w:sz w:val="20"/>
              </w:rPr>
              <w:t>при давлении за котлом 100 кгс/cм2 – 15;</w:t>
            </w:r>
            <w:r>
              <w:br/>
            </w:r>
            <w:r>
              <w:rPr>
                <w:rFonts w:ascii="Times New Roman"/>
                <w:b w:val="false"/>
                <w:i w:val="false"/>
                <w:color w:val="000000"/>
                <w:sz w:val="20"/>
              </w:rPr>
              <w:t>
</w:t>
            </w:r>
            <w:r>
              <w:rPr>
                <w:rFonts w:ascii="Times New Roman"/>
                <w:b w:val="false"/>
                <w:i w:val="false"/>
                <w:color w:val="000000"/>
                <w:sz w:val="20"/>
              </w:rPr>
              <w:t>при давлении за котлом 140 кгс/cм2 – 5;</w:t>
            </w:r>
            <w:r>
              <w:br/>
            </w:r>
            <w:r>
              <w:rPr>
                <w:rFonts w:ascii="Times New Roman"/>
                <w:b w:val="false"/>
                <w:i w:val="false"/>
                <w:color w:val="000000"/>
                <w:sz w:val="20"/>
              </w:rPr>
              <w:t>
</w:t>
            </w:r>
            <w:r>
              <w:rPr>
                <w:rFonts w:ascii="Times New Roman"/>
                <w:b w:val="false"/>
                <w:i w:val="false"/>
                <w:color w:val="000000"/>
                <w:sz w:val="20"/>
              </w:rPr>
              <w:t>- содержание кремниевой кислоты для котлов давлением 70 кгс/см2 и выше не более 15 мкг/дм3;</w:t>
            </w:r>
            <w:r>
              <w:br/>
            </w:r>
            <w:r>
              <w:rPr>
                <w:rFonts w:ascii="Times New Roman"/>
                <w:b w:val="false"/>
                <w:i w:val="false"/>
                <w:color w:val="000000"/>
                <w:sz w:val="20"/>
              </w:rPr>
              <w:t>
</w:t>
            </w:r>
            <w:r>
              <w:rPr>
                <w:rFonts w:ascii="Times New Roman"/>
                <w:b w:val="false"/>
                <w:i w:val="false"/>
                <w:color w:val="000000"/>
                <w:sz w:val="20"/>
              </w:rPr>
              <w:t>- значение рН для котлов всех давлений не менее 7,5;</w:t>
            </w:r>
            <w:r>
              <w:br/>
            </w:r>
            <w:r>
              <w:rPr>
                <w:rFonts w:ascii="Times New Roman"/>
                <w:b w:val="false"/>
                <w:i w:val="false"/>
                <w:color w:val="000000"/>
                <w:sz w:val="20"/>
              </w:rPr>
              <w:t>
</w:t>
            </w:r>
            <w:r>
              <w:rPr>
                <w:rFonts w:ascii="Times New Roman"/>
                <w:b w:val="false"/>
                <w:i w:val="false"/>
                <w:color w:val="000000"/>
                <w:sz w:val="20"/>
              </w:rPr>
              <w:t>- удельная электрическая проводимость должна быть:</w:t>
            </w:r>
            <w:r>
              <w:br/>
            </w:r>
            <w:r>
              <w:rPr>
                <w:rFonts w:ascii="Times New Roman"/>
                <w:b w:val="false"/>
                <w:i w:val="false"/>
                <w:color w:val="000000"/>
                <w:sz w:val="20"/>
              </w:rPr>
              <w:t>
</w:t>
            </w:r>
            <w:r>
              <w:rPr>
                <w:rFonts w:ascii="Times New Roman"/>
                <w:b w:val="false"/>
                <w:i w:val="false"/>
                <w:color w:val="000000"/>
                <w:sz w:val="20"/>
              </w:rPr>
              <w:t>для котлов давлением 100 кгс/см2 не более 0,5 мкСм/см;</w:t>
            </w:r>
            <w:r>
              <w:br/>
            </w:r>
            <w:r>
              <w:rPr>
                <w:rFonts w:ascii="Times New Roman"/>
                <w:b w:val="false"/>
                <w:i w:val="false"/>
                <w:color w:val="000000"/>
                <w:sz w:val="20"/>
              </w:rPr>
              <w:t>
</w:t>
            </w:r>
            <w:r>
              <w:rPr>
                <w:rFonts w:ascii="Times New Roman"/>
                <w:b w:val="false"/>
                <w:i w:val="false"/>
                <w:color w:val="000000"/>
                <w:sz w:val="20"/>
              </w:rPr>
              <w:t>для дегазированной пробы или 1,5 мкСм/см для Н-катионированной пробы;</w:t>
            </w:r>
            <w:r>
              <w:br/>
            </w:r>
            <w:r>
              <w:rPr>
                <w:rFonts w:ascii="Times New Roman"/>
                <w:b w:val="false"/>
                <w:i w:val="false"/>
                <w:color w:val="000000"/>
                <w:sz w:val="20"/>
              </w:rPr>
              <w:t>
для котлов давлением 140 кгс/см2 (13,8 МПа) не более 0,3 мкСм/см для дегазированной пробы или 1 мкСм/см для Н-катионированной пробы.</w:t>
            </w:r>
          </w:p>
          <w:bookmarkEnd w:id="72"/>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73"/>
          <w:p>
            <w:pPr>
              <w:spacing w:after="20"/>
              <w:ind w:left="20"/>
              <w:jc w:val="both"/>
            </w:pPr>
            <w:r>
              <w:rPr>
                <w:rFonts w:ascii="Times New Roman"/>
                <w:b w:val="false"/>
                <w:i w:val="false"/>
                <w:color w:val="000000"/>
                <w:sz w:val="20"/>
              </w:rPr>
              <w:t>
Обеспечение соответствия качества питательной воды котлов с естественной циркуляцией на жидком топливе следующим нормам:</w:t>
            </w:r>
            <w:r>
              <w:br/>
            </w:r>
            <w:r>
              <w:rPr>
                <w:rFonts w:ascii="Times New Roman"/>
                <w:b w:val="false"/>
                <w:i w:val="false"/>
                <w:color w:val="000000"/>
                <w:sz w:val="20"/>
              </w:rPr>
              <w:t>
</w:t>
            </w:r>
            <w:r>
              <w:rPr>
                <w:rFonts w:ascii="Times New Roman"/>
                <w:b w:val="false"/>
                <w:i w:val="false"/>
                <w:color w:val="000000"/>
                <w:sz w:val="20"/>
              </w:rPr>
              <w:t>- общая жесткость, мкг-экв/дм3, не более:</w:t>
            </w:r>
            <w:r>
              <w:br/>
            </w:r>
            <w:r>
              <w:rPr>
                <w:rFonts w:ascii="Times New Roman"/>
                <w:b w:val="false"/>
                <w:i w:val="false"/>
                <w:color w:val="000000"/>
                <w:sz w:val="20"/>
              </w:rPr>
              <w:t>
</w:t>
            </w:r>
            <w:r>
              <w:rPr>
                <w:rFonts w:ascii="Times New Roman"/>
                <w:b w:val="false"/>
                <w:i w:val="false"/>
                <w:color w:val="000000"/>
                <w:sz w:val="20"/>
              </w:rPr>
              <w:t>при давлении за котлом 40 кгс/cм2 – 5;</w:t>
            </w:r>
            <w:r>
              <w:br/>
            </w:r>
            <w:r>
              <w:rPr>
                <w:rFonts w:ascii="Times New Roman"/>
                <w:b w:val="false"/>
                <w:i w:val="false"/>
                <w:color w:val="000000"/>
                <w:sz w:val="20"/>
              </w:rPr>
              <w:t>
</w:t>
            </w:r>
            <w:r>
              <w:rPr>
                <w:rFonts w:ascii="Times New Roman"/>
                <w:b w:val="false"/>
                <w:i w:val="false"/>
                <w:color w:val="000000"/>
                <w:sz w:val="20"/>
              </w:rPr>
              <w:t>при давлении за котлом 100 кгс/cм2 – 1;</w:t>
            </w:r>
            <w:r>
              <w:br/>
            </w:r>
            <w:r>
              <w:rPr>
                <w:rFonts w:ascii="Times New Roman"/>
                <w:b w:val="false"/>
                <w:i w:val="false"/>
                <w:color w:val="000000"/>
                <w:sz w:val="20"/>
              </w:rPr>
              <w:t>
</w:t>
            </w:r>
            <w:r>
              <w:rPr>
                <w:rFonts w:ascii="Times New Roman"/>
                <w:b w:val="false"/>
                <w:i w:val="false"/>
                <w:color w:val="000000"/>
                <w:sz w:val="20"/>
              </w:rPr>
              <w:t>при давлении за котлом 140 кгс/cм2 – 1;</w:t>
            </w:r>
            <w:r>
              <w:br/>
            </w:r>
            <w:r>
              <w:rPr>
                <w:rFonts w:ascii="Times New Roman"/>
                <w:b w:val="false"/>
                <w:i w:val="false"/>
                <w:color w:val="000000"/>
                <w:sz w:val="20"/>
              </w:rPr>
              <w:t>
</w:t>
            </w:r>
            <w:r>
              <w:rPr>
                <w:rFonts w:ascii="Times New Roman"/>
                <w:b w:val="false"/>
                <w:i w:val="false"/>
                <w:color w:val="000000"/>
                <w:sz w:val="20"/>
              </w:rPr>
              <w:t>- содержание соединений железа, мкг/дм3, не более:</w:t>
            </w:r>
            <w:r>
              <w:br/>
            </w:r>
            <w:r>
              <w:rPr>
                <w:rFonts w:ascii="Times New Roman"/>
                <w:b w:val="false"/>
                <w:i w:val="false"/>
                <w:color w:val="000000"/>
                <w:sz w:val="20"/>
              </w:rPr>
              <w:t>
</w:t>
            </w:r>
            <w:r>
              <w:rPr>
                <w:rFonts w:ascii="Times New Roman"/>
                <w:b w:val="false"/>
                <w:i w:val="false"/>
                <w:color w:val="000000"/>
                <w:sz w:val="20"/>
              </w:rPr>
              <w:t>при давлении за котлом 40 кгс/cм2 – 50;</w:t>
            </w:r>
            <w:r>
              <w:br/>
            </w:r>
            <w:r>
              <w:rPr>
                <w:rFonts w:ascii="Times New Roman"/>
                <w:b w:val="false"/>
                <w:i w:val="false"/>
                <w:color w:val="000000"/>
                <w:sz w:val="20"/>
              </w:rPr>
              <w:t>
</w:t>
            </w:r>
            <w:r>
              <w:rPr>
                <w:rFonts w:ascii="Times New Roman"/>
                <w:b w:val="false"/>
                <w:i w:val="false"/>
                <w:color w:val="000000"/>
                <w:sz w:val="20"/>
              </w:rPr>
              <w:t>при давлении за котлом 100 кгс/cм2 – 20;</w:t>
            </w:r>
            <w:r>
              <w:br/>
            </w:r>
            <w:r>
              <w:rPr>
                <w:rFonts w:ascii="Times New Roman"/>
                <w:b w:val="false"/>
                <w:i w:val="false"/>
                <w:color w:val="000000"/>
                <w:sz w:val="20"/>
              </w:rPr>
              <w:t>
</w:t>
            </w:r>
            <w:r>
              <w:rPr>
                <w:rFonts w:ascii="Times New Roman"/>
                <w:b w:val="false"/>
                <w:i w:val="false"/>
                <w:color w:val="000000"/>
                <w:sz w:val="20"/>
              </w:rPr>
              <w:t>при давлении за котлом 140 кгс/cм2 – 20;</w:t>
            </w:r>
            <w:r>
              <w:br/>
            </w:r>
            <w:r>
              <w:rPr>
                <w:rFonts w:ascii="Times New Roman"/>
                <w:b w:val="false"/>
                <w:i w:val="false"/>
                <w:color w:val="000000"/>
                <w:sz w:val="20"/>
              </w:rPr>
              <w:t>
</w:t>
            </w:r>
            <w:r>
              <w:rPr>
                <w:rFonts w:ascii="Times New Roman"/>
                <w:b w:val="false"/>
                <w:i w:val="false"/>
                <w:color w:val="000000"/>
                <w:sz w:val="20"/>
              </w:rPr>
              <w:t>- содержание соединений меди в воде перед деаэратором, мкг/дм3, не более:</w:t>
            </w:r>
            <w:r>
              <w:br/>
            </w:r>
            <w:r>
              <w:rPr>
                <w:rFonts w:ascii="Times New Roman"/>
                <w:b w:val="false"/>
                <w:i w:val="false"/>
                <w:color w:val="000000"/>
                <w:sz w:val="20"/>
              </w:rPr>
              <w:t>
</w:t>
            </w:r>
            <w:r>
              <w:rPr>
                <w:rFonts w:ascii="Times New Roman"/>
                <w:b w:val="false"/>
                <w:i w:val="false"/>
                <w:color w:val="000000"/>
                <w:sz w:val="20"/>
              </w:rPr>
              <w:t>при давлении за котлом 40 кгс/cм2 – 10;</w:t>
            </w:r>
            <w:r>
              <w:br/>
            </w:r>
            <w:r>
              <w:rPr>
                <w:rFonts w:ascii="Times New Roman"/>
                <w:b w:val="false"/>
                <w:i w:val="false"/>
                <w:color w:val="000000"/>
                <w:sz w:val="20"/>
              </w:rPr>
              <w:t>
</w:t>
            </w:r>
            <w:r>
              <w:rPr>
                <w:rFonts w:ascii="Times New Roman"/>
                <w:b w:val="false"/>
                <w:i w:val="false"/>
                <w:color w:val="000000"/>
                <w:sz w:val="20"/>
              </w:rPr>
              <w:t>при давлении за котлом 100 кгс/cм2 – 5;</w:t>
            </w:r>
            <w:r>
              <w:br/>
            </w:r>
            <w:r>
              <w:rPr>
                <w:rFonts w:ascii="Times New Roman"/>
                <w:b w:val="false"/>
                <w:i w:val="false"/>
                <w:color w:val="000000"/>
                <w:sz w:val="20"/>
              </w:rPr>
              <w:t>
</w:t>
            </w:r>
            <w:r>
              <w:rPr>
                <w:rFonts w:ascii="Times New Roman"/>
                <w:b w:val="false"/>
                <w:i w:val="false"/>
                <w:color w:val="000000"/>
                <w:sz w:val="20"/>
              </w:rPr>
              <w:t>при давлении за котлом 140 кгс/cм2 – 5;</w:t>
            </w:r>
            <w:r>
              <w:br/>
            </w:r>
            <w:r>
              <w:rPr>
                <w:rFonts w:ascii="Times New Roman"/>
                <w:b w:val="false"/>
                <w:i w:val="false"/>
                <w:color w:val="000000"/>
                <w:sz w:val="20"/>
              </w:rPr>
              <w:t>
</w:t>
            </w:r>
            <w:r>
              <w:rPr>
                <w:rFonts w:ascii="Times New Roman"/>
                <w:b w:val="false"/>
                <w:i w:val="false"/>
                <w:color w:val="000000"/>
                <w:sz w:val="20"/>
              </w:rPr>
              <w:t>- содержание растворенного кислорода в воде после деаэратора, мкг/дм3, не более:</w:t>
            </w:r>
            <w:r>
              <w:br/>
            </w:r>
            <w:r>
              <w:rPr>
                <w:rFonts w:ascii="Times New Roman"/>
                <w:b w:val="false"/>
                <w:i w:val="false"/>
                <w:color w:val="000000"/>
                <w:sz w:val="20"/>
              </w:rPr>
              <w:t>
</w:t>
            </w:r>
            <w:r>
              <w:rPr>
                <w:rFonts w:ascii="Times New Roman"/>
                <w:b w:val="false"/>
                <w:i w:val="false"/>
                <w:color w:val="000000"/>
                <w:sz w:val="20"/>
              </w:rPr>
              <w:t>при давлении за котлом 40 кгс/cм2 – 20;</w:t>
            </w:r>
            <w:r>
              <w:br/>
            </w:r>
            <w:r>
              <w:rPr>
                <w:rFonts w:ascii="Times New Roman"/>
                <w:b w:val="false"/>
                <w:i w:val="false"/>
                <w:color w:val="000000"/>
                <w:sz w:val="20"/>
              </w:rPr>
              <w:t>
</w:t>
            </w:r>
            <w:r>
              <w:rPr>
                <w:rFonts w:ascii="Times New Roman"/>
                <w:b w:val="false"/>
                <w:i w:val="false"/>
                <w:color w:val="000000"/>
                <w:sz w:val="20"/>
              </w:rPr>
              <w:t>при давлении за котлом 100 кгс/cм2 – 10;</w:t>
            </w:r>
            <w:r>
              <w:br/>
            </w:r>
            <w:r>
              <w:rPr>
                <w:rFonts w:ascii="Times New Roman"/>
                <w:b w:val="false"/>
                <w:i w:val="false"/>
                <w:color w:val="000000"/>
                <w:sz w:val="20"/>
              </w:rPr>
              <w:t>
</w:t>
            </w:r>
            <w:r>
              <w:rPr>
                <w:rFonts w:ascii="Times New Roman"/>
                <w:b w:val="false"/>
                <w:i w:val="false"/>
                <w:color w:val="000000"/>
                <w:sz w:val="20"/>
              </w:rPr>
              <w:t>при давлении за котлом 140 кгс/cм2 – 10;</w:t>
            </w:r>
            <w:r>
              <w:br/>
            </w:r>
            <w:r>
              <w:rPr>
                <w:rFonts w:ascii="Times New Roman"/>
                <w:b w:val="false"/>
                <w:i w:val="false"/>
                <w:color w:val="000000"/>
                <w:sz w:val="20"/>
              </w:rPr>
              <w:t>
</w:t>
            </w:r>
            <w:r>
              <w:rPr>
                <w:rFonts w:ascii="Times New Roman"/>
                <w:b w:val="false"/>
                <w:i w:val="false"/>
                <w:color w:val="000000"/>
                <w:sz w:val="20"/>
              </w:rPr>
              <w:t>- содержание нефтепродуктов, мг/дм3, не более:</w:t>
            </w:r>
            <w:r>
              <w:br/>
            </w:r>
            <w:r>
              <w:rPr>
                <w:rFonts w:ascii="Times New Roman"/>
                <w:b w:val="false"/>
                <w:i w:val="false"/>
                <w:color w:val="000000"/>
                <w:sz w:val="20"/>
              </w:rPr>
              <w:t>
</w:t>
            </w:r>
            <w:r>
              <w:rPr>
                <w:rFonts w:ascii="Times New Roman"/>
                <w:b w:val="false"/>
                <w:i w:val="false"/>
                <w:color w:val="000000"/>
                <w:sz w:val="20"/>
              </w:rPr>
              <w:t>при давлении за котлом 40 кгс/cм2 – 0,5;</w:t>
            </w:r>
            <w:r>
              <w:br/>
            </w:r>
            <w:r>
              <w:rPr>
                <w:rFonts w:ascii="Times New Roman"/>
                <w:b w:val="false"/>
                <w:i w:val="false"/>
                <w:color w:val="000000"/>
                <w:sz w:val="20"/>
              </w:rPr>
              <w:t>
</w:t>
            </w:r>
            <w:r>
              <w:rPr>
                <w:rFonts w:ascii="Times New Roman"/>
                <w:b w:val="false"/>
                <w:i w:val="false"/>
                <w:color w:val="000000"/>
                <w:sz w:val="20"/>
              </w:rPr>
              <w:t>при давлении за котлом 100 кгс/cм2 – 0,3;</w:t>
            </w:r>
            <w:r>
              <w:br/>
            </w:r>
            <w:r>
              <w:rPr>
                <w:rFonts w:ascii="Times New Roman"/>
                <w:b w:val="false"/>
                <w:i w:val="false"/>
                <w:color w:val="000000"/>
                <w:sz w:val="20"/>
              </w:rPr>
              <w:t>
</w:t>
            </w:r>
            <w:r>
              <w:rPr>
                <w:rFonts w:ascii="Times New Roman"/>
                <w:b w:val="false"/>
                <w:i w:val="false"/>
                <w:color w:val="000000"/>
                <w:sz w:val="20"/>
              </w:rPr>
              <w:t>при давлении за котлом 140 кгс/cм2 – 0,3;</w:t>
            </w:r>
            <w:r>
              <w:br/>
            </w:r>
            <w:r>
              <w:rPr>
                <w:rFonts w:ascii="Times New Roman"/>
                <w:b w:val="false"/>
                <w:i w:val="false"/>
                <w:color w:val="000000"/>
                <w:sz w:val="20"/>
              </w:rPr>
              <w:t>
</w:t>
            </w:r>
            <w:r>
              <w:rPr>
                <w:rFonts w:ascii="Times New Roman"/>
                <w:b w:val="false"/>
                <w:i w:val="false"/>
                <w:color w:val="000000"/>
                <w:sz w:val="20"/>
              </w:rPr>
              <w:t>- значение рН1:</w:t>
            </w:r>
            <w:r>
              <w:br/>
            </w:r>
            <w:r>
              <w:rPr>
                <w:rFonts w:ascii="Times New Roman"/>
                <w:b w:val="false"/>
                <w:i w:val="false"/>
                <w:color w:val="000000"/>
                <w:sz w:val="20"/>
              </w:rPr>
              <w:t>
</w:t>
            </w:r>
            <w:r>
              <w:rPr>
                <w:rFonts w:ascii="Times New Roman"/>
                <w:b w:val="false"/>
                <w:i w:val="false"/>
                <w:color w:val="000000"/>
                <w:sz w:val="20"/>
              </w:rPr>
              <w:t>при давлении за котлом 40 кгс/cм2 – 8,5-9,5;</w:t>
            </w:r>
            <w:r>
              <w:br/>
            </w:r>
            <w:r>
              <w:rPr>
                <w:rFonts w:ascii="Times New Roman"/>
                <w:b w:val="false"/>
                <w:i w:val="false"/>
                <w:color w:val="000000"/>
                <w:sz w:val="20"/>
              </w:rPr>
              <w:t>
</w:t>
            </w:r>
            <w:r>
              <w:rPr>
                <w:rFonts w:ascii="Times New Roman"/>
                <w:b w:val="false"/>
                <w:i w:val="false"/>
                <w:color w:val="000000"/>
                <w:sz w:val="20"/>
              </w:rPr>
              <w:t>при давлении за котлом 100 кгс/cм2 – 9,1;</w:t>
            </w:r>
            <w:r>
              <w:br/>
            </w:r>
            <w:r>
              <w:rPr>
                <w:rFonts w:ascii="Times New Roman"/>
                <w:b w:val="false"/>
                <w:i w:val="false"/>
                <w:color w:val="000000"/>
                <w:sz w:val="20"/>
              </w:rPr>
              <w:t>
при давлении за котлом 140 кгс/cм2 – 9,1.</w:t>
            </w:r>
          </w:p>
          <w:bookmarkEnd w:id="73"/>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74"/>
          <w:p>
            <w:pPr>
              <w:spacing w:after="20"/>
              <w:ind w:left="20"/>
              <w:jc w:val="both"/>
            </w:pPr>
            <w:r>
              <w:rPr>
                <w:rFonts w:ascii="Times New Roman"/>
                <w:b w:val="false"/>
                <w:i w:val="false"/>
                <w:color w:val="000000"/>
                <w:sz w:val="20"/>
              </w:rPr>
              <w:t>
Обеспечение соответствия качества питательной воды котлов с естественной циркуляцией на других видах топлива следующим нормам:</w:t>
            </w:r>
            <w:r>
              <w:br/>
            </w:r>
            <w:r>
              <w:rPr>
                <w:rFonts w:ascii="Times New Roman"/>
                <w:b w:val="false"/>
                <w:i w:val="false"/>
                <w:color w:val="000000"/>
                <w:sz w:val="20"/>
              </w:rPr>
              <w:t>
</w:t>
            </w:r>
            <w:r>
              <w:rPr>
                <w:rFonts w:ascii="Times New Roman"/>
                <w:b w:val="false"/>
                <w:i w:val="false"/>
                <w:color w:val="000000"/>
                <w:sz w:val="20"/>
              </w:rPr>
              <w:t>- общая жесткость, мкг-экв/дм3, не более:</w:t>
            </w:r>
            <w:r>
              <w:br/>
            </w:r>
            <w:r>
              <w:rPr>
                <w:rFonts w:ascii="Times New Roman"/>
                <w:b w:val="false"/>
                <w:i w:val="false"/>
                <w:color w:val="000000"/>
                <w:sz w:val="20"/>
              </w:rPr>
              <w:t>
</w:t>
            </w:r>
            <w:r>
              <w:rPr>
                <w:rFonts w:ascii="Times New Roman"/>
                <w:b w:val="false"/>
                <w:i w:val="false"/>
                <w:color w:val="000000"/>
                <w:sz w:val="20"/>
              </w:rPr>
              <w:t>при давлении за котлом 40 кгс/cм2 – 10;</w:t>
            </w:r>
            <w:r>
              <w:br/>
            </w:r>
            <w:r>
              <w:rPr>
                <w:rFonts w:ascii="Times New Roman"/>
                <w:b w:val="false"/>
                <w:i w:val="false"/>
                <w:color w:val="000000"/>
                <w:sz w:val="20"/>
              </w:rPr>
              <w:t>
</w:t>
            </w:r>
            <w:r>
              <w:rPr>
                <w:rFonts w:ascii="Times New Roman"/>
                <w:b w:val="false"/>
                <w:i w:val="false"/>
                <w:color w:val="000000"/>
                <w:sz w:val="20"/>
              </w:rPr>
              <w:t>при давлении за котлом 100 кгс/cм2 – 3;</w:t>
            </w:r>
            <w:r>
              <w:br/>
            </w:r>
            <w:r>
              <w:rPr>
                <w:rFonts w:ascii="Times New Roman"/>
                <w:b w:val="false"/>
                <w:i w:val="false"/>
                <w:color w:val="000000"/>
                <w:sz w:val="20"/>
              </w:rPr>
              <w:t>
</w:t>
            </w:r>
            <w:r>
              <w:rPr>
                <w:rFonts w:ascii="Times New Roman"/>
                <w:b w:val="false"/>
                <w:i w:val="false"/>
                <w:color w:val="000000"/>
                <w:sz w:val="20"/>
              </w:rPr>
              <w:t>при давлении за котлом 140 кгс/cм2 – 1;</w:t>
            </w:r>
            <w:r>
              <w:br/>
            </w:r>
            <w:r>
              <w:rPr>
                <w:rFonts w:ascii="Times New Roman"/>
                <w:b w:val="false"/>
                <w:i w:val="false"/>
                <w:color w:val="000000"/>
                <w:sz w:val="20"/>
              </w:rPr>
              <w:t>
</w:t>
            </w:r>
            <w:r>
              <w:rPr>
                <w:rFonts w:ascii="Times New Roman"/>
                <w:b w:val="false"/>
                <w:i w:val="false"/>
                <w:color w:val="000000"/>
                <w:sz w:val="20"/>
              </w:rPr>
              <w:t>- содержание соединений железа, мкг/дм3, не более:</w:t>
            </w:r>
            <w:r>
              <w:br/>
            </w:r>
            <w:r>
              <w:rPr>
                <w:rFonts w:ascii="Times New Roman"/>
                <w:b w:val="false"/>
                <w:i w:val="false"/>
                <w:color w:val="000000"/>
                <w:sz w:val="20"/>
              </w:rPr>
              <w:t>
</w:t>
            </w:r>
            <w:r>
              <w:rPr>
                <w:rFonts w:ascii="Times New Roman"/>
                <w:b w:val="false"/>
                <w:i w:val="false"/>
                <w:color w:val="000000"/>
                <w:sz w:val="20"/>
              </w:rPr>
              <w:t>при давлении за котлом 40 кгс/cм2 – 100;</w:t>
            </w:r>
            <w:r>
              <w:br/>
            </w:r>
            <w:r>
              <w:rPr>
                <w:rFonts w:ascii="Times New Roman"/>
                <w:b w:val="false"/>
                <w:i w:val="false"/>
                <w:color w:val="000000"/>
                <w:sz w:val="20"/>
              </w:rPr>
              <w:t>
</w:t>
            </w:r>
            <w:r>
              <w:rPr>
                <w:rFonts w:ascii="Times New Roman"/>
                <w:b w:val="false"/>
                <w:i w:val="false"/>
                <w:color w:val="000000"/>
                <w:sz w:val="20"/>
              </w:rPr>
              <w:t>при давлении за котлом 100 кгс/cм2 – 30;</w:t>
            </w:r>
            <w:r>
              <w:br/>
            </w:r>
            <w:r>
              <w:rPr>
                <w:rFonts w:ascii="Times New Roman"/>
                <w:b w:val="false"/>
                <w:i w:val="false"/>
                <w:color w:val="000000"/>
                <w:sz w:val="20"/>
              </w:rPr>
              <w:t>
</w:t>
            </w:r>
            <w:r>
              <w:rPr>
                <w:rFonts w:ascii="Times New Roman"/>
                <w:b w:val="false"/>
                <w:i w:val="false"/>
                <w:color w:val="000000"/>
                <w:sz w:val="20"/>
              </w:rPr>
              <w:t>при давлении за котлом 140 кгс/cм2 – 20;</w:t>
            </w:r>
            <w:r>
              <w:br/>
            </w:r>
            <w:r>
              <w:rPr>
                <w:rFonts w:ascii="Times New Roman"/>
                <w:b w:val="false"/>
                <w:i w:val="false"/>
                <w:color w:val="000000"/>
                <w:sz w:val="20"/>
              </w:rPr>
              <w:t>
</w:t>
            </w:r>
            <w:r>
              <w:rPr>
                <w:rFonts w:ascii="Times New Roman"/>
                <w:b w:val="false"/>
                <w:i w:val="false"/>
                <w:color w:val="000000"/>
                <w:sz w:val="20"/>
              </w:rPr>
              <w:t>- содержание соединений меди в воде перед деаэратором, мкг/дм3, не более:</w:t>
            </w:r>
            <w:r>
              <w:br/>
            </w:r>
            <w:r>
              <w:rPr>
                <w:rFonts w:ascii="Times New Roman"/>
                <w:b w:val="false"/>
                <w:i w:val="false"/>
                <w:color w:val="000000"/>
                <w:sz w:val="20"/>
              </w:rPr>
              <w:t>
</w:t>
            </w:r>
            <w:r>
              <w:rPr>
                <w:rFonts w:ascii="Times New Roman"/>
                <w:b w:val="false"/>
                <w:i w:val="false"/>
                <w:color w:val="000000"/>
                <w:sz w:val="20"/>
              </w:rPr>
              <w:t>при давлении за котлом 40 кгс/cм2 –не нормируется;</w:t>
            </w:r>
            <w:r>
              <w:br/>
            </w:r>
            <w:r>
              <w:rPr>
                <w:rFonts w:ascii="Times New Roman"/>
                <w:b w:val="false"/>
                <w:i w:val="false"/>
                <w:color w:val="000000"/>
                <w:sz w:val="20"/>
              </w:rPr>
              <w:t>
</w:t>
            </w:r>
            <w:r>
              <w:rPr>
                <w:rFonts w:ascii="Times New Roman"/>
                <w:b w:val="false"/>
                <w:i w:val="false"/>
                <w:color w:val="000000"/>
                <w:sz w:val="20"/>
              </w:rPr>
              <w:t>при давлении за котлом 100 кгс/cм2 – 5;</w:t>
            </w:r>
            <w:r>
              <w:br/>
            </w:r>
            <w:r>
              <w:rPr>
                <w:rFonts w:ascii="Times New Roman"/>
                <w:b w:val="false"/>
                <w:i w:val="false"/>
                <w:color w:val="000000"/>
                <w:sz w:val="20"/>
              </w:rPr>
              <w:t>
</w:t>
            </w:r>
            <w:r>
              <w:rPr>
                <w:rFonts w:ascii="Times New Roman"/>
                <w:b w:val="false"/>
                <w:i w:val="false"/>
                <w:color w:val="000000"/>
                <w:sz w:val="20"/>
              </w:rPr>
              <w:t>при давлении за котлом 140 кгс/cм2 – 5;</w:t>
            </w:r>
            <w:r>
              <w:br/>
            </w:r>
            <w:r>
              <w:rPr>
                <w:rFonts w:ascii="Times New Roman"/>
                <w:b w:val="false"/>
                <w:i w:val="false"/>
                <w:color w:val="000000"/>
                <w:sz w:val="20"/>
              </w:rPr>
              <w:t>
</w:t>
            </w:r>
            <w:r>
              <w:rPr>
                <w:rFonts w:ascii="Times New Roman"/>
                <w:b w:val="false"/>
                <w:i w:val="false"/>
                <w:color w:val="000000"/>
                <w:sz w:val="20"/>
              </w:rPr>
              <w:t>- содержание растворенного кислорода в воде после деаэратора, мкг/дм3, не более:</w:t>
            </w:r>
            <w:r>
              <w:br/>
            </w:r>
            <w:r>
              <w:rPr>
                <w:rFonts w:ascii="Times New Roman"/>
                <w:b w:val="false"/>
                <w:i w:val="false"/>
                <w:color w:val="000000"/>
                <w:sz w:val="20"/>
              </w:rPr>
              <w:t>
</w:t>
            </w:r>
            <w:r>
              <w:rPr>
                <w:rFonts w:ascii="Times New Roman"/>
                <w:b w:val="false"/>
                <w:i w:val="false"/>
                <w:color w:val="000000"/>
                <w:sz w:val="20"/>
              </w:rPr>
              <w:t>при давлении за котлом 40 кгс/cм2 – 20;</w:t>
            </w:r>
            <w:r>
              <w:br/>
            </w:r>
            <w:r>
              <w:rPr>
                <w:rFonts w:ascii="Times New Roman"/>
                <w:b w:val="false"/>
                <w:i w:val="false"/>
                <w:color w:val="000000"/>
                <w:sz w:val="20"/>
              </w:rPr>
              <w:t>
</w:t>
            </w:r>
            <w:r>
              <w:rPr>
                <w:rFonts w:ascii="Times New Roman"/>
                <w:b w:val="false"/>
                <w:i w:val="false"/>
                <w:color w:val="000000"/>
                <w:sz w:val="20"/>
              </w:rPr>
              <w:t>при давлении за котлом 100 кгс/cм2 – 10;</w:t>
            </w:r>
            <w:r>
              <w:br/>
            </w:r>
            <w:r>
              <w:rPr>
                <w:rFonts w:ascii="Times New Roman"/>
                <w:b w:val="false"/>
                <w:i w:val="false"/>
                <w:color w:val="000000"/>
                <w:sz w:val="20"/>
              </w:rPr>
              <w:t>
</w:t>
            </w:r>
            <w:r>
              <w:rPr>
                <w:rFonts w:ascii="Times New Roman"/>
                <w:b w:val="false"/>
                <w:i w:val="false"/>
                <w:color w:val="000000"/>
                <w:sz w:val="20"/>
              </w:rPr>
              <w:t>при давлении за котлом 140 кгс/cм2 – 10;</w:t>
            </w:r>
            <w:r>
              <w:br/>
            </w:r>
            <w:r>
              <w:rPr>
                <w:rFonts w:ascii="Times New Roman"/>
                <w:b w:val="false"/>
                <w:i w:val="false"/>
                <w:color w:val="000000"/>
                <w:sz w:val="20"/>
              </w:rPr>
              <w:t>
</w:t>
            </w:r>
            <w:r>
              <w:rPr>
                <w:rFonts w:ascii="Times New Roman"/>
                <w:b w:val="false"/>
                <w:i w:val="false"/>
                <w:color w:val="000000"/>
                <w:sz w:val="20"/>
              </w:rPr>
              <w:t>- содержание нефтепродуктов, мг/дм3, не более:</w:t>
            </w:r>
            <w:r>
              <w:br/>
            </w:r>
            <w:r>
              <w:rPr>
                <w:rFonts w:ascii="Times New Roman"/>
                <w:b w:val="false"/>
                <w:i w:val="false"/>
                <w:color w:val="000000"/>
                <w:sz w:val="20"/>
              </w:rPr>
              <w:t>
</w:t>
            </w:r>
            <w:r>
              <w:rPr>
                <w:rFonts w:ascii="Times New Roman"/>
                <w:b w:val="false"/>
                <w:i w:val="false"/>
                <w:color w:val="000000"/>
                <w:sz w:val="20"/>
              </w:rPr>
              <w:t>при давлении за котлом 40 кгс/cм2 – 0,5;</w:t>
            </w:r>
            <w:r>
              <w:br/>
            </w:r>
            <w:r>
              <w:rPr>
                <w:rFonts w:ascii="Times New Roman"/>
                <w:b w:val="false"/>
                <w:i w:val="false"/>
                <w:color w:val="000000"/>
                <w:sz w:val="20"/>
              </w:rPr>
              <w:t>
</w:t>
            </w:r>
            <w:r>
              <w:rPr>
                <w:rFonts w:ascii="Times New Roman"/>
                <w:b w:val="false"/>
                <w:i w:val="false"/>
                <w:color w:val="000000"/>
                <w:sz w:val="20"/>
              </w:rPr>
              <w:t>при давлении за котлом 100 кгс/cм2 – 0,3;</w:t>
            </w:r>
            <w:r>
              <w:br/>
            </w:r>
            <w:r>
              <w:rPr>
                <w:rFonts w:ascii="Times New Roman"/>
                <w:b w:val="false"/>
                <w:i w:val="false"/>
                <w:color w:val="000000"/>
                <w:sz w:val="20"/>
              </w:rPr>
              <w:t>
</w:t>
            </w:r>
            <w:r>
              <w:rPr>
                <w:rFonts w:ascii="Times New Roman"/>
                <w:b w:val="false"/>
                <w:i w:val="false"/>
                <w:color w:val="000000"/>
                <w:sz w:val="20"/>
              </w:rPr>
              <w:t>при давлении за котлом 140 кгс/cм2 – 0,3;</w:t>
            </w:r>
            <w:r>
              <w:br/>
            </w:r>
            <w:r>
              <w:rPr>
                <w:rFonts w:ascii="Times New Roman"/>
                <w:b w:val="false"/>
                <w:i w:val="false"/>
                <w:color w:val="000000"/>
                <w:sz w:val="20"/>
              </w:rPr>
              <w:t>
</w:t>
            </w:r>
            <w:r>
              <w:rPr>
                <w:rFonts w:ascii="Times New Roman"/>
                <w:b w:val="false"/>
                <w:i w:val="false"/>
                <w:color w:val="000000"/>
                <w:sz w:val="20"/>
              </w:rPr>
              <w:t>- значение рН1:</w:t>
            </w:r>
            <w:r>
              <w:br/>
            </w:r>
            <w:r>
              <w:rPr>
                <w:rFonts w:ascii="Times New Roman"/>
                <w:b w:val="false"/>
                <w:i w:val="false"/>
                <w:color w:val="000000"/>
                <w:sz w:val="20"/>
              </w:rPr>
              <w:t>
</w:t>
            </w:r>
            <w:r>
              <w:rPr>
                <w:rFonts w:ascii="Times New Roman"/>
                <w:b w:val="false"/>
                <w:i w:val="false"/>
                <w:color w:val="000000"/>
                <w:sz w:val="20"/>
              </w:rPr>
              <w:t>при давлении за котлом 40 кгс/cм2 – 8,5-9,5;</w:t>
            </w:r>
            <w:r>
              <w:br/>
            </w:r>
            <w:r>
              <w:rPr>
                <w:rFonts w:ascii="Times New Roman"/>
                <w:b w:val="false"/>
                <w:i w:val="false"/>
                <w:color w:val="000000"/>
                <w:sz w:val="20"/>
              </w:rPr>
              <w:t>
</w:t>
            </w:r>
            <w:r>
              <w:rPr>
                <w:rFonts w:ascii="Times New Roman"/>
                <w:b w:val="false"/>
                <w:i w:val="false"/>
                <w:color w:val="000000"/>
                <w:sz w:val="20"/>
              </w:rPr>
              <w:t>при давлении за котлом 100 кгс/cм2 – 9,1;</w:t>
            </w:r>
            <w:r>
              <w:br/>
            </w:r>
            <w:r>
              <w:rPr>
                <w:rFonts w:ascii="Times New Roman"/>
                <w:b w:val="false"/>
                <w:i w:val="false"/>
                <w:color w:val="000000"/>
                <w:sz w:val="20"/>
              </w:rPr>
              <w:t>
при давлении за котлом 140 кгс/cм2 – 9,1.</w:t>
            </w:r>
          </w:p>
          <w:bookmarkEnd w:id="74"/>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75"/>
          <w:p>
            <w:pPr>
              <w:spacing w:after="20"/>
              <w:ind w:left="20"/>
              <w:jc w:val="both"/>
            </w:pPr>
            <w:r>
              <w:rPr>
                <w:rFonts w:ascii="Times New Roman"/>
                <w:b w:val="false"/>
                <w:i w:val="false"/>
                <w:color w:val="000000"/>
                <w:sz w:val="20"/>
              </w:rPr>
              <w:t>
Обеспечение соответствия качества конденсата турбин после конденсатных насосов первой ступени электростанций с прямоточными котлами давлением 140-255 кгс/см2(13,8-25 МПа) следующим нормам, не более:</w:t>
            </w:r>
            <w:r>
              <w:br/>
            </w:r>
            <w:r>
              <w:rPr>
                <w:rFonts w:ascii="Times New Roman"/>
                <w:b w:val="false"/>
                <w:i w:val="false"/>
                <w:color w:val="000000"/>
                <w:sz w:val="20"/>
              </w:rPr>
              <w:t>
</w:t>
            </w:r>
            <w:r>
              <w:rPr>
                <w:rFonts w:ascii="Times New Roman"/>
                <w:b w:val="false"/>
                <w:i w:val="false"/>
                <w:color w:val="000000"/>
                <w:sz w:val="20"/>
              </w:rPr>
              <w:t>1) общая жесткость 0,5 мкг-экв/дм3, при очистке 100 % конденсата, выходящего из конденсатосборника турбины, производится временное повышение указанной нормы на срок не более 4 суток при условии соблюдения норм качества питательной воды;</w:t>
            </w:r>
            <w:r>
              <w:br/>
            </w:r>
            <w:r>
              <w:rPr>
                <w:rFonts w:ascii="Times New Roman"/>
                <w:b w:val="false"/>
                <w:i w:val="false"/>
                <w:color w:val="000000"/>
                <w:sz w:val="20"/>
              </w:rPr>
              <w:t>
</w:t>
            </w:r>
            <w:r>
              <w:rPr>
                <w:rFonts w:ascii="Times New Roman"/>
                <w:b w:val="false"/>
                <w:i w:val="false"/>
                <w:color w:val="000000"/>
                <w:sz w:val="20"/>
              </w:rPr>
              <w:t>2) удельная электрическая проводимость 0,5 мкСм/см;</w:t>
            </w:r>
            <w:r>
              <w:br/>
            </w:r>
            <w:r>
              <w:rPr>
                <w:rFonts w:ascii="Times New Roman"/>
                <w:b w:val="false"/>
                <w:i w:val="false"/>
                <w:color w:val="000000"/>
                <w:sz w:val="20"/>
              </w:rPr>
              <w:t>
3) содержание растворенного кислорода после конденсатных насосов 20 мкг/дм3.</w:t>
            </w:r>
          </w:p>
          <w:bookmarkEnd w:id="75"/>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76"/>
          <w:p>
            <w:pPr>
              <w:spacing w:after="20"/>
              <w:ind w:left="20"/>
              <w:jc w:val="both"/>
            </w:pPr>
            <w:r>
              <w:rPr>
                <w:rFonts w:ascii="Times New Roman"/>
                <w:b w:val="false"/>
                <w:i w:val="false"/>
                <w:color w:val="000000"/>
                <w:sz w:val="20"/>
              </w:rPr>
              <w:t>
Обеспечение соответствия качества дистиллята испарителей, предназначенных для восполнения потерь пара и конденсата, следующим нормам:</w:t>
            </w:r>
            <w:r>
              <w:br/>
            </w:r>
            <w:r>
              <w:rPr>
                <w:rFonts w:ascii="Times New Roman"/>
                <w:b w:val="false"/>
                <w:i w:val="false"/>
                <w:color w:val="000000"/>
                <w:sz w:val="20"/>
              </w:rPr>
              <w:t>
</w:t>
            </w:r>
            <w:r>
              <w:rPr>
                <w:rFonts w:ascii="Times New Roman"/>
                <w:b w:val="false"/>
                <w:i w:val="false"/>
                <w:color w:val="000000"/>
                <w:sz w:val="20"/>
              </w:rPr>
              <w:t>1) содержание соединений натрия – не более 100 мкг/дм3;</w:t>
            </w:r>
            <w:r>
              <w:br/>
            </w:r>
            <w:r>
              <w:rPr>
                <w:rFonts w:ascii="Times New Roman"/>
                <w:b w:val="false"/>
                <w:i w:val="false"/>
                <w:color w:val="000000"/>
                <w:sz w:val="20"/>
              </w:rPr>
              <w:t>
2) свободной угольной кислоты – не более 2 мг/дм3 .</w:t>
            </w:r>
          </w:p>
          <w:bookmarkEnd w:id="76"/>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77"/>
          <w:p>
            <w:pPr>
              <w:spacing w:after="20"/>
              <w:ind w:left="20"/>
              <w:jc w:val="both"/>
            </w:pPr>
            <w:r>
              <w:rPr>
                <w:rFonts w:ascii="Times New Roman"/>
                <w:b w:val="false"/>
                <w:i w:val="false"/>
                <w:color w:val="000000"/>
                <w:sz w:val="20"/>
              </w:rPr>
              <w:t>
Обеспечение соответствия качества питательной воды испарителей, предназначенных для восполнения потерь пара и конденсата, следующим нормам:</w:t>
            </w:r>
            <w:r>
              <w:br/>
            </w:r>
            <w:r>
              <w:rPr>
                <w:rFonts w:ascii="Times New Roman"/>
                <w:b w:val="false"/>
                <w:i w:val="false"/>
                <w:color w:val="000000"/>
                <w:sz w:val="20"/>
              </w:rPr>
              <w:t>
</w:t>
            </w:r>
            <w:r>
              <w:rPr>
                <w:rFonts w:ascii="Times New Roman"/>
                <w:b w:val="false"/>
                <w:i w:val="false"/>
                <w:color w:val="000000"/>
                <w:sz w:val="20"/>
              </w:rPr>
              <w:t>- общая жесткость, мкг-экв/дм3, не более 30;</w:t>
            </w:r>
            <w:r>
              <w:br/>
            </w:r>
            <w:r>
              <w:rPr>
                <w:rFonts w:ascii="Times New Roman"/>
                <w:b w:val="false"/>
                <w:i w:val="false"/>
                <w:color w:val="000000"/>
                <w:sz w:val="20"/>
              </w:rPr>
              <w:t>
</w:t>
            </w:r>
            <w:r>
              <w:rPr>
                <w:rFonts w:ascii="Times New Roman"/>
                <w:b w:val="false"/>
                <w:i w:val="false"/>
                <w:color w:val="000000"/>
                <w:sz w:val="20"/>
              </w:rPr>
              <w:t>- общая жесткость при солесодержании исходной воды более 2000 мг/дм3, мкг-экв/дм3, не более 75;</w:t>
            </w:r>
            <w:r>
              <w:br/>
            </w:r>
            <w:r>
              <w:rPr>
                <w:rFonts w:ascii="Times New Roman"/>
                <w:b w:val="false"/>
                <w:i w:val="false"/>
                <w:color w:val="000000"/>
                <w:sz w:val="20"/>
              </w:rPr>
              <w:t>
</w:t>
            </w:r>
            <w:r>
              <w:rPr>
                <w:rFonts w:ascii="Times New Roman"/>
                <w:b w:val="false"/>
                <w:i w:val="false"/>
                <w:color w:val="000000"/>
                <w:sz w:val="20"/>
              </w:rPr>
              <w:t>- содержание кислорода, мкг/дм3, не более 30;</w:t>
            </w:r>
            <w:r>
              <w:br/>
            </w:r>
            <w:r>
              <w:rPr>
                <w:rFonts w:ascii="Times New Roman"/>
                <w:b w:val="false"/>
                <w:i w:val="false"/>
                <w:color w:val="000000"/>
                <w:sz w:val="20"/>
              </w:rPr>
              <w:t>
- содержание свободной угольной кислоты 0.</w:t>
            </w:r>
          </w:p>
          <w:bookmarkEnd w:id="77"/>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78"/>
          <w:p>
            <w:pPr>
              <w:spacing w:after="20"/>
              <w:ind w:left="20"/>
              <w:jc w:val="both"/>
            </w:pPr>
            <w:r>
              <w:rPr>
                <w:rFonts w:ascii="Times New Roman"/>
                <w:b w:val="false"/>
                <w:i w:val="false"/>
                <w:color w:val="000000"/>
                <w:sz w:val="20"/>
              </w:rPr>
              <w:t xml:space="preserve">
Обеспечение соответствия величины внутристанционных потерь пара и конденсата (без учета потерь при работе форсунок, продувках и обдувках котлов, водных отмывках, обслуживании установок для очистки конденсата, деаэрации добавочной воды теплосети, разгрузке мазута) следующим нормам, при номинальной производительности работающих котлов не более, % общего расхода питательной воды. </w:t>
            </w:r>
            <w:r>
              <w:br/>
            </w:r>
            <w:r>
              <w:rPr>
                <w:rFonts w:ascii="Times New Roman"/>
                <w:b w:val="false"/>
                <w:i w:val="false"/>
                <w:color w:val="000000"/>
                <w:sz w:val="20"/>
              </w:rPr>
              <w:t>
</w:t>
            </w:r>
            <w:r>
              <w:rPr>
                <w:rFonts w:ascii="Times New Roman"/>
                <w:b w:val="false"/>
                <w:i w:val="false"/>
                <w:color w:val="000000"/>
                <w:sz w:val="20"/>
              </w:rPr>
              <w:t>На конденсационных электростанциях – не более 1,0;</w:t>
            </w:r>
            <w:r>
              <w:br/>
            </w:r>
            <w:r>
              <w:rPr>
                <w:rFonts w:ascii="Times New Roman"/>
                <w:b w:val="false"/>
                <w:i w:val="false"/>
                <w:color w:val="000000"/>
                <w:sz w:val="20"/>
              </w:rPr>
              <w:t>
</w:t>
            </w:r>
            <w:r>
              <w:rPr>
                <w:rFonts w:ascii="Times New Roman"/>
                <w:b w:val="false"/>
                <w:i w:val="false"/>
                <w:color w:val="000000"/>
                <w:sz w:val="20"/>
              </w:rPr>
              <w:t>На теплоэлектроцентралях с чисто отопительной нагрузкой – не более 1,2;</w:t>
            </w:r>
            <w:r>
              <w:br/>
            </w:r>
            <w:r>
              <w:rPr>
                <w:rFonts w:ascii="Times New Roman"/>
                <w:b w:val="false"/>
                <w:i w:val="false"/>
                <w:color w:val="000000"/>
                <w:sz w:val="20"/>
              </w:rPr>
              <w:t>
На теплоэлектроцентралях с производственной или производственной отопительной нагрузками – не более 1,6.</w:t>
            </w:r>
          </w:p>
          <w:bookmarkEnd w:id="78"/>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выполнении ремонта и замены оборудования систем золошлакоудаления, составленному на основе опыта эксплуатации систем золо- и шлакоудаления.</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наличия проекта создания новой емкости золоотвала не менее чем за 3 года до окончания заполнения существующего золоотвала.</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задания диспетчера тепловой сети поддержания режима работы теплофикационной установки (давление в подающем и обратном трубопроводах и температура в подающем трубопроводе). Отклонения от заданного режима за головной задвижкой электростанции обеспечиваются на уровне не более: по температуре воды, поступающей в тепловую сеть, ±3 %; по давлению в подающем трубопроводе ±5 %, по давлению в обратном трубопроводе ±0,2 кгс/см2 (± 20 кПа).</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инструкций на ремонт оборудования, утвержденного техническим руководителем, в которой установлена периодичность и продолжительность всех видов ремонта данного оборудования.</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графика расчетных удельных расходов топлива и воды на отпущенную электроэнергию и тепло по каждой группе оборудования электростанции 1 раз в 5 лет, а также вследствие технического перевооружения и реконструкции тепловых электростанций, изменения вида или марки сжигаемого топлива фактических удельных расходов топлива на отпуск электроэнергии и тепла изменились более чем на 2 и 1 % соответственно.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таблички на основном и вспомогательном оборудовании электростанций с номинальными данными согласно инструкции завода-изготовителя на это оборудование.</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нумерации на основном и вспомогательном оборудований, в том числе трубопроводах, системах и секции шин, а также на арматуре, шибере газо и воздухопроводах, при наличии избирательной системы управления (далее – ИСУ) наличие двойной нумерации арматуры по месту и на исполнительных схемах с указанием номера, соответствующего оперативной схеме, и номера по ИСУ.</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инструкциях, схемах и чертежах всех изменений в энергоустановках, выполненных в процессе эксплуатации и внесенных за подписью контролирующего лица с указанием его должности и даты внесения изменения.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конкретного перечня средств измерений, подлежащих поверке, утвержденного техническим руководителем энергообъекта.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разработанных мероприятий по предотвращению аварийных и залповых выбросов и сбросов, загрязняющих веществ в окружающую среду.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указателей, на поверхности земли, скрытых под землей коммуникации водопровода, канализации, теплофикации, а также газопроводов, воздухопроводов, кабелей на закрытых территориях.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табличек с предельными нагрузками для каждого участка перекрытий, определенных на основе проектных данных и установленные на видных местах.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от скопления пыли в помещениях и на оборудований.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знаков с надписями на осях основных гидротехнических сооружений на местности, а также наличие связи с базисными реперами.</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назначенных на электростанциях паводковых комиссий, ежегодно до наступления весеннего половодья, а в отдельных случаях также и летне-осеннего паводка.</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затворов обеспеченных водонепроницаемостью, правильной посадкой их на порог и плотным прилеганием к опорному контуру, а также отсутствие перекосов и недопустимых деформаций затворов при работе под напором.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регулярного очищения сороудерживающих конструкций (решетки, сетки, запани) от сора.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каждой электростанции установленных предельных по условиям прочности и экономичности значений перепада уровней на сороудерживающих решетках.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годового водохозяйственного плана для гидроэлектростанций с водохранилищем комплексного пользования, устанавливающего помесячные объемы использования воды различными водопользователями.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очистки конструкции оросителей градирен от минеральных и органических отложений.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специальных размораживающих устройств, механических рыхлителей, вагонных вибраторов и прочих механизмов, облегчающих выгрузку топлива, особенно смерзшегося, и очистку железнодорожных вагонов.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резервных механизмов и оборудования (вагоноопрокидыватели, нитки системы конвейеров, дробилки) работающих поочередно.</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обводнения жидкого топлива при его сливе, хранении и подаче на сжигание.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составленных паспортов на каждый газопровод и оборудование газораспределительного пункта (далее – ГРП), содержащие основные данные, характеризующие газопровод, помещение ГРП, оборудование и контрольно-измерительные приборы, а также сведения о выполняемом ремонте.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перечня газоопасных работ и инструкций, составленных и утвержденных техническим руководителем энергообъекта, определяющие порядок подготовки и безопасность их проведения применительно к конкретным производственным условиям.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Назначение лиц, выдающих наряды на газоопасные работы, приказом по энергообъекту.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пуска и эксплуатации пылеприготовительных установок с неисправными системами сигнализации, защит и блокировок.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технологических защит, действующих на отключение оборудования, снабженных средствами, фиксирующими первопричину их срабатывания, а также эксплуатация средств, фиксирующих первопричину срабатывания защиты, включая регистраторы событий, в течение всего времени работы защищаемого оборудования.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 ответственных за исправное состояние и безопасную эксплуатацию трубопроводов, назначенных из числа инженерно-технических работников (начальников цехов и служб) распоряжением администрации энергообъекта.</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регулирующих клапанов снабженных указателями степени открытия регулирующего органа оборудования, а запорная арматура – указателями "Открыто" и "Закрыто".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в эксплуатацию котла с неработающей золоулавливающей установкой.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использования бункеров золоулавливающих установок для накопления уловленной золы.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электродвигателях и приводимых ими механизмах стрелок, указывающих направление вращения.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электродвигателях и их пусковых устройствах надписей с наименованием агрегата, к которому они относятся.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баках трансформаторов и реакторов наружной установки станционных (подстанционных) номеров, а также наличие таких же номеров на двери и внутренней поверхности трансформаторных пунктов и камер.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расцветки фазы на баках однофазного трансформатора и реактора.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дверях и внутренних стенках камер закрытых распределительных устройств, оборудования открытых распределительных устройств, наружных и внутренних лицевых частях комплектного распределительного устройства, сборках, а также на лицевой и оборотной сторонах панелей щитов надписей, указывающих назначение присоединений и их диспетчерское наименование.</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дверях распределительных устройств предупреждающих знаков по применению и испытанию средств защиты, используемых в электроустановках.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предохранительных щитках и (или) у предохранителей присоединений надписи, указывающей номинальный ток плавкой вставки.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обозначения расцветки фаз на металлических частях корпусов оборудования.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приводах разъединителей, заземляющих ножей, отделителей, короткозамыкателей отделенных от аппаратов стенкой, указателей отключенного и включенного положений.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Подержание температуры в помещении аккумуляторной батареи не ниже 10 </w:t>
            </w:r>
            <w:r>
              <w:rPr>
                <w:rFonts w:ascii="Times New Roman"/>
                <w:b w:val="false"/>
                <w:i w:val="false"/>
                <w:color w:val="000000"/>
                <w:vertAlign w:val="superscript"/>
              </w:rPr>
              <w:t>0</w:t>
            </w:r>
            <w:r>
              <w:rPr>
                <w:rFonts w:ascii="Times New Roman"/>
                <w:b w:val="false"/>
                <w:i w:val="false"/>
                <w:color w:val="000000"/>
                <w:sz w:val="20"/>
              </w:rPr>
              <w:t xml:space="preserve">С, при этом на подстанциях без постоянного дежурства персонала и в случаях, если емкость батареи выбрана и рассчитана с учетом понижения температуры, допускается понижение температуры до 5 </w:t>
            </w:r>
            <w:r>
              <w:rPr>
                <w:rFonts w:ascii="Times New Roman"/>
                <w:b w:val="false"/>
                <w:i w:val="false"/>
                <w:color w:val="000000"/>
                <w:vertAlign w:val="superscript"/>
              </w:rPr>
              <w:t>0</w:t>
            </w:r>
            <w:r>
              <w:rPr>
                <w:rFonts w:ascii="Times New Roman"/>
                <w:b w:val="false"/>
                <w:i w:val="false"/>
                <w:color w:val="000000"/>
                <w:sz w:val="20"/>
              </w:rPr>
              <w:t>С.</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дверях помещения аккумуляторной батареи надписи "Аккумуляторная", "Огнеопасно", "Запрещается курить" и соответствующих знаков безопасности о недопущении пользоваться открытым огнем и курить.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графика осмотра аккумуляторных батарей по графику, утвержденному техническим руководителем энергообъекта.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каждой аккумуляторной установке журнала с записями об осмотре и объемах проведенных работ.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паспорта для каждой кабельной линии с указанием основных данных по линии.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открыто проложенных кабелях, а также на всех кабельных муфтах бирок с обозначениями; на бирках кабелей в конце и начале линии указываются марки, напряжения, сечения, номера или наименования линии; на бирках соединительных муфт – номер муфты, дата монтажа, а также расположение бирок по длине линии, через 50 м на открыто проложенных кабелях, а также на поворотах трассы и в местах прохода кабелей через огнестойкие перегородки и перекрытия (с обеих сторон).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журнале дефектов и неполадок, о выявленных нарушениях на кабельных линиях при осмотрах.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заземления или зануления кабелей с металлическими оболочками или броней, а также кабельных конструкций, на которых проложены кабели.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79"/>
          <w:p>
            <w:pPr>
              <w:spacing w:after="20"/>
              <w:ind w:left="20"/>
              <w:jc w:val="both"/>
            </w:pPr>
            <w:r>
              <w:rPr>
                <w:rFonts w:ascii="Times New Roman"/>
                <w:b w:val="false"/>
                <w:i w:val="false"/>
                <w:color w:val="000000"/>
                <w:sz w:val="20"/>
              </w:rPr>
              <w:t>
Наличие на все энергетические масла отечественного и зарубежного производства (турбинные, электроизоляционные, компрессорные, индустриальные и др.), принятые на энергопредприятие от поставщиков:</w:t>
            </w:r>
            <w:r>
              <w:br/>
            </w:r>
            <w:r>
              <w:rPr>
                <w:rFonts w:ascii="Times New Roman"/>
                <w:b w:val="false"/>
                <w:i w:val="false"/>
                <w:color w:val="000000"/>
                <w:sz w:val="20"/>
              </w:rPr>
              <w:t>
</w:t>
            </w:r>
            <w:r>
              <w:rPr>
                <w:rFonts w:ascii="Times New Roman"/>
                <w:b w:val="false"/>
                <w:i w:val="false"/>
                <w:color w:val="000000"/>
                <w:sz w:val="20"/>
              </w:rPr>
              <w:t>1) сертификатов качества или паспорта и прошедшие лабораторный анализ в целях определения их соответствия требованиям стандарта (государственный стандарт или технические условия);</w:t>
            </w:r>
            <w:r>
              <w:br/>
            </w:r>
            <w:r>
              <w:rPr>
                <w:rFonts w:ascii="Times New Roman"/>
                <w:b w:val="false"/>
                <w:i w:val="false"/>
                <w:color w:val="000000"/>
                <w:sz w:val="20"/>
              </w:rPr>
              <w:t>
</w:t>
            </w:r>
            <w:r>
              <w:rPr>
                <w:rFonts w:ascii="Times New Roman"/>
                <w:b w:val="false"/>
                <w:i w:val="false"/>
                <w:color w:val="000000"/>
                <w:sz w:val="20"/>
              </w:rPr>
              <w:t>2) сертификатов качества (паспорта или протоколы испытаний), подтверждающие отсутствие стойких органических загрязнителей полихлордифенилов, полихлорбифенилов на каждую поставляемую партию энергетического масла;</w:t>
            </w:r>
            <w:r>
              <w:br/>
            </w:r>
            <w:r>
              <w:rPr>
                <w:rFonts w:ascii="Times New Roman"/>
                <w:b w:val="false"/>
                <w:i w:val="false"/>
                <w:color w:val="000000"/>
                <w:sz w:val="20"/>
              </w:rPr>
              <w:t>
3) паспорта безопасности энергетического масла.</w:t>
            </w:r>
          </w:p>
          <w:bookmarkEnd w:id="79"/>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электростанциях постоянного запаса нефтяного турбинного масла в количестве, равном (или более) вместимости масляной системы самого крупного агрегата, и запаса на доливки не менее 45-дневной потребности.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постоянного запаса огнестойкого турбинного масла на уровне не менее годовой потребности его на доливки для одного турбоагрегата.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каждой электростанции постоянного запаса смазочных материалов для вспомогательного оборудования не менее 45-дневной потребности.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тепловой нагрузки для каждой теплоэлектроцентрали и других теплоисточников, составленных диспетчерской службой тепловой сети и утвержденных главным диспетчером (начальником диспетчерской службы) тепловой сети.</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автоматической фиксации оперативных переговоров на всех уровнях диспетчерского управления и оперативных переговоров начальников смен электростанций и крупных подстанций на записывающее устройство.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местах прохода (пересечения) проводов и кабелей через панели металлических гильз.</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в помещениях и коридорах закрытых распределительных устройств наличия кладовых подсобных сооружений, не относящиеся к распределительному устройству, а также хранение электротехнического оборудования, материалов, запасных частей, емкостей с горючими жидкостями и баллонов с различными газами.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кабельных каналов закрытых распределительных устройств и наземных кабельных лотков открытых распределительных устройств закрытых плитами.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кабельных сооружениях не реже, чем через 50 м, указателей ближайшего выхода.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суточных графиков на основании которых организуется управление балансом мощности в Единой энергетической системе (далее – ЕЭС) Казахстана, при этом электростанции выполняют заданный суточный график нагрузки и вращающегося резерва, а пользователи сети не превышают свой заявленный почасовой график потребления активной мощности.</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каналов связи и передачи данных телеметрии на диспетчерский центр системного оператора по двум независимым направлениям энергопроизводящих организаций с установленной мощностью свыше 10 МВт.</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окрашивания в красный систем трубопроводов и запорной арматуры установки пожаротушения трансформаторов и масляных реакторов.</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учета работ технического обслуживания по видам оборудования, зданиям и сооружениям электростанции.</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программы вывода в ремонт оборудования энергопроизводящей организации.</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ведомости параметров технического состояния оборудования по утвержденным формам, по результатам ремонта оборудования энергопроизводящей организации.</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Комитет атомного и энергетического надзора и контроля в течение 15 календарных дней со дня принятия (увольнения) информации о вновь принятых/уволенных руководителях, подлежащих квалификационной проверке в государственном органе.</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 </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руководителем годового плана работы с персоналом.</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ежегодного приказа с 1 августа о создании комиссии организации по оценке готовности к работе в осенне-зимний период.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80"/>
          <w:p>
            <w:pPr>
              <w:spacing w:after="20"/>
              <w:ind w:left="20"/>
              <w:jc w:val="both"/>
            </w:pPr>
            <w:r>
              <w:rPr>
                <w:rFonts w:ascii="Times New Roman"/>
                <w:b w:val="false"/>
                <w:i w:val="false"/>
                <w:color w:val="000000"/>
                <w:sz w:val="20"/>
              </w:rPr>
              <w:t xml:space="preserve">
Наличие разработанных энергетических характеристик оборудования, устанавливающих зависимость технико-экономических показателей его работы в абсолютном или относительном исчислении от электрических и тепловых нагрузок. </w:t>
            </w:r>
            <w:r>
              <w:br/>
            </w:r>
            <w:r>
              <w:rPr>
                <w:rFonts w:ascii="Times New Roman"/>
                <w:b w:val="false"/>
                <w:i w:val="false"/>
                <w:color w:val="000000"/>
                <w:sz w:val="20"/>
              </w:rPr>
              <w:t>
Разработанные графики исходно-номинальных удельных расходов топлива на отпущенную электрическую и тепловую энергию, а на гидроэлектростанции – нормативных удельных расходов воды на отпущенную электрическую энергию.</w:t>
            </w:r>
          </w:p>
          <w:bookmarkEnd w:id="80"/>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решения руководителя организации о назначении сотруднику внеочередной квалификационной проверки знаний за неисполнение должностных обязанностей по занимаемой должности в течение срока более шести месяцев.</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ежегодного приказа руководителя о создании центральной комиссии по квалификационной проверке знаний.</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6"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Проверочном листе</w:t>
      </w:r>
      <w:r>
        <w:rPr>
          <w:rFonts w:ascii="Times New Roman"/>
          <w:b w:val="false"/>
          <w:i w:val="false"/>
          <w:color w:val="000000"/>
          <w:sz w:val="28"/>
        </w:rPr>
        <w:t xml:space="preserve"> в области электроэнергетики в отношении энергопередающих организаций, утвержденном указанным совместным приказом:</w:t>
      </w:r>
    </w:p>
    <w:bookmarkEnd w:id="81"/>
    <w:bookmarkStart w:name="z357" w:id="82"/>
    <w:p>
      <w:pPr>
        <w:spacing w:after="0"/>
        <w:ind w:left="0"/>
        <w:jc w:val="both"/>
      </w:pPr>
      <w:r>
        <w:rPr>
          <w:rFonts w:ascii="Times New Roman"/>
          <w:b w:val="false"/>
          <w:i w:val="false"/>
          <w:color w:val="000000"/>
          <w:sz w:val="28"/>
        </w:rPr>
        <w:t>
      строку, порядковый номер 15, изложить в следующей редакции:</w:t>
      </w:r>
    </w:p>
    <w:bookmarkEnd w:id="82"/>
    <w:bookmarkStart w:name="z358" w:id="83"/>
    <w:p>
      <w:pPr>
        <w:spacing w:after="0"/>
        <w:ind w:left="0"/>
        <w:jc w:val="both"/>
      </w:pPr>
      <w:r>
        <w:rPr>
          <w:rFonts w:ascii="Times New Roman"/>
          <w:b w:val="false"/>
          <w:i w:val="false"/>
          <w:color w:val="000000"/>
          <w:sz w:val="28"/>
        </w:rPr>
        <w: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8464"/>
        <w:gridCol w:w="318"/>
        <w:gridCol w:w="318"/>
        <w:gridCol w:w="318"/>
        <w:gridCol w:w="318"/>
        <w:gridCol w:w="319"/>
      </w:tblGrid>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84"/>
          <w:p>
            <w:pPr>
              <w:spacing w:after="20"/>
              <w:ind w:left="20"/>
              <w:jc w:val="both"/>
            </w:pPr>
            <w:r>
              <w:rPr>
                <w:rFonts w:ascii="Times New Roman"/>
                <w:b w:val="false"/>
                <w:i w:val="false"/>
                <w:color w:val="000000"/>
                <w:sz w:val="20"/>
              </w:rPr>
              <w:t>
Наличие раздела на собственном интернет-ресурсе, посвященному процессу подключения к сети электроснабжения и выдачи технических условий, включающего:</w:t>
            </w:r>
            <w:r>
              <w:br/>
            </w:r>
            <w:r>
              <w:rPr>
                <w:rFonts w:ascii="Times New Roman"/>
                <w:b w:val="false"/>
                <w:i w:val="false"/>
                <w:color w:val="000000"/>
                <w:sz w:val="20"/>
              </w:rPr>
              <w:t>
</w:t>
            </w:r>
            <w:r>
              <w:rPr>
                <w:rFonts w:ascii="Times New Roman"/>
                <w:b w:val="false"/>
                <w:i w:val="false"/>
                <w:color w:val="000000"/>
                <w:sz w:val="20"/>
              </w:rPr>
              <w:t>разработку раздела, посвященного технологическому подключению к сетям электроснабжения;</w:t>
            </w:r>
            <w:r>
              <w:br/>
            </w:r>
            <w:r>
              <w:rPr>
                <w:rFonts w:ascii="Times New Roman"/>
                <w:b w:val="false"/>
                <w:i w:val="false"/>
                <w:color w:val="000000"/>
                <w:sz w:val="20"/>
              </w:rPr>
              <w:t>
размещение информации о загрузке подстанций с периодичностью не менее 3 месяцев.</w:t>
            </w:r>
          </w:p>
          <w:bookmarkEnd w:id="84"/>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2" w:id="85"/>
    <w:p>
      <w:pPr>
        <w:spacing w:after="0"/>
        <w:ind w:left="0"/>
        <w:jc w:val="both"/>
      </w:pPr>
      <w:r>
        <w:rPr>
          <w:rFonts w:ascii="Times New Roman"/>
          <w:b w:val="false"/>
          <w:i w:val="false"/>
          <w:color w:val="000000"/>
          <w:sz w:val="28"/>
        </w:rPr>
        <w:t>
      строку, порядковый номер 19, изложить в следующей редакции:</w:t>
      </w:r>
    </w:p>
    <w:bookmarkEnd w:id="85"/>
    <w:bookmarkStart w:name="z363" w:id="86"/>
    <w:p>
      <w:pPr>
        <w:spacing w:after="0"/>
        <w:ind w:left="0"/>
        <w:jc w:val="both"/>
      </w:pPr>
      <w:r>
        <w:rPr>
          <w:rFonts w:ascii="Times New Roman"/>
          <w:b w:val="false"/>
          <w:i w:val="false"/>
          <w:color w:val="000000"/>
          <w:sz w:val="28"/>
        </w:rPr>
        <w:t>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1096"/>
        <w:gridCol w:w="100"/>
        <w:gridCol w:w="100"/>
        <w:gridCol w:w="100"/>
        <w:gridCol w:w="100"/>
        <w:gridCol w:w="100"/>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предупреждения о прекращении (ограничении) поставки электрической энергии путем направления уведомления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в сроки не менее чем за 5 (пять) рабочих дня до прекращения поставки электрической энергии Потребителю (Потребителя, использующего электрическую энергию для бытовых нужд не менее чем за 30 (тридцать) календарных дней).</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5" w:id="87"/>
    <w:p>
      <w:pPr>
        <w:spacing w:after="0"/>
        <w:ind w:left="0"/>
        <w:jc w:val="both"/>
      </w:pPr>
      <w:r>
        <w:rPr>
          <w:rFonts w:ascii="Times New Roman"/>
          <w:b w:val="false"/>
          <w:i w:val="false"/>
          <w:color w:val="000000"/>
          <w:sz w:val="28"/>
        </w:rPr>
        <w:t>
      строку, порядковый номер 21, изложить в следующей редакции:</w:t>
      </w:r>
    </w:p>
    <w:bookmarkEnd w:id="87"/>
    <w:bookmarkStart w:name="z366" w:id="88"/>
    <w:p>
      <w:pPr>
        <w:spacing w:after="0"/>
        <w:ind w:left="0"/>
        <w:jc w:val="both"/>
      </w:pPr>
      <w:r>
        <w:rPr>
          <w:rFonts w:ascii="Times New Roman"/>
          <w:b w:val="false"/>
          <w:i w:val="false"/>
          <w:color w:val="000000"/>
          <w:sz w:val="28"/>
        </w:rPr>
        <w:t>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9516"/>
        <w:gridCol w:w="231"/>
        <w:gridCol w:w="231"/>
        <w:gridCol w:w="231"/>
        <w:gridCol w:w="231"/>
        <w:gridCol w:w="231"/>
      </w:tblGrid>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предупреждения энергопередающей организации потребителя о прекращении подачи электрической энергии для проведения плановых работ по ремонту оборудования и подключению новых потребителей не позднее, чем за три календарных дня до отключения.</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8" w:id="89"/>
    <w:p>
      <w:pPr>
        <w:spacing w:after="0"/>
        <w:ind w:left="0"/>
        <w:jc w:val="both"/>
      </w:pPr>
      <w:r>
        <w:rPr>
          <w:rFonts w:ascii="Times New Roman"/>
          <w:b w:val="false"/>
          <w:i w:val="false"/>
          <w:color w:val="000000"/>
          <w:sz w:val="28"/>
        </w:rPr>
        <w:t>
      строку, порядковый номер 26, изложить в следующей редакции:</w:t>
      </w:r>
    </w:p>
    <w:bookmarkEnd w:id="89"/>
    <w:bookmarkStart w:name="z369" w:id="90"/>
    <w:p>
      <w:pPr>
        <w:spacing w:after="0"/>
        <w:ind w:left="0"/>
        <w:jc w:val="both"/>
      </w:pPr>
      <w:r>
        <w:rPr>
          <w:rFonts w:ascii="Times New Roman"/>
          <w:b w:val="false"/>
          <w:i w:val="false"/>
          <w:color w:val="000000"/>
          <w:sz w:val="28"/>
        </w:rPr>
        <w:t>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9"/>
        <w:gridCol w:w="8661"/>
        <w:gridCol w:w="302"/>
        <w:gridCol w:w="302"/>
        <w:gridCol w:w="302"/>
        <w:gridCol w:w="302"/>
        <w:gridCol w:w="302"/>
      </w:tblGrid>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91"/>
          <w:p>
            <w:pPr>
              <w:spacing w:after="20"/>
              <w:ind w:left="20"/>
              <w:jc w:val="both"/>
            </w:pPr>
            <w:r>
              <w:rPr>
                <w:rFonts w:ascii="Times New Roman"/>
                <w:b w:val="false"/>
                <w:i w:val="false"/>
                <w:color w:val="000000"/>
                <w:sz w:val="20"/>
              </w:rPr>
              <w:t>
Наличие составленного акта потребителю электроэнергии о нарушении в произвольной форме и проведение перерасчета при следующих нарушениях:</w:t>
            </w:r>
            <w:r>
              <w:br/>
            </w:r>
            <w:r>
              <w:rPr>
                <w:rFonts w:ascii="Times New Roman"/>
                <w:b w:val="false"/>
                <w:i w:val="false"/>
                <w:color w:val="000000"/>
                <w:sz w:val="20"/>
              </w:rPr>
              <w:t>
</w:t>
            </w:r>
            <w:r>
              <w:rPr>
                <w:rFonts w:ascii="Times New Roman"/>
                <w:b w:val="false"/>
                <w:i w:val="false"/>
                <w:color w:val="000000"/>
                <w:sz w:val="20"/>
              </w:rPr>
              <w:t>1) самовольное подключение к сетям энергопередающей организации;</w:t>
            </w:r>
            <w:r>
              <w:br/>
            </w:r>
            <w:r>
              <w:rPr>
                <w:rFonts w:ascii="Times New Roman"/>
                <w:b w:val="false"/>
                <w:i w:val="false"/>
                <w:color w:val="000000"/>
                <w:sz w:val="20"/>
              </w:rPr>
              <w:t>
</w:t>
            </w:r>
            <w:r>
              <w:rPr>
                <w:rFonts w:ascii="Times New Roman"/>
                <w:b w:val="false"/>
                <w:i w:val="false"/>
                <w:color w:val="000000"/>
                <w:sz w:val="20"/>
              </w:rPr>
              <w:t>2) подключение приемников электроэнергии помимо прибора коммерческого учета электрической энергии (далее – ПКУ);</w:t>
            </w:r>
            <w:r>
              <w:br/>
            </w:r>
            <w:r>
              <w:rPr>
                <w:rFonts w:ascii="Times New Roman"/>
                <w:b w:val="false"/>
                <w:i w:val="false"/>
                <w:color w:val="000000"/>
                <w:sz w:val="20"/>
              </w:rPr>
              <w:t>
</w:t>
            </w:r>
            <w:r>
              <w:rPr>
                <w:rFonts w:ascii="Times New Roman"/>
                <w:b w:val="false"/>
                <w:i w:val="false"/>
                <w:color w:val="000000"/>
                <w:sz w:val="20"/>
              </w:rPr>
              <w:t>3) изменение схемы включения ПКУ, трансформаторов тока и напряжения;</w:t>
            </w:r>
            <w:r>
              <w:br/>
            </w:r>
            <w:r>
              <w:rPr>
                <w:rFonts w:ascii="Times New Roman"/>
                <w:b w:val="false"/>
                <w:i w:val="false"/>
                <w:color w:val="000000"/>
                <w:sz w:val="20"/>
              </w:rPr>
              <w:t>
</w:t>
            </w:r>
            <w:r>
              <w:rPr>
                <w:rFonts w:ascii="Times New Roman"/>
                <w:b w:val="false"/>
                <w:i w:val="false"/>
                <w:color w:val="000000"/>
                <w:sz w:val="20"/>
              </w:rPr>
              <w:t>4) искусственное торможение диска ПКУ;</w:t>
            </w:r>
            <w:r>
              <w:br/>
            </w:r>
            <w:r>
              <w:rPr>
                <w:rFonts w:ascii="Times New Roman"/>
                <w:b w:val="false"/>
                <w:i w:val="false"/>
                <w:color w:val="000000"/>
                <w:sz w:val="20"/>
              </w:rPr>
              <w:t>
5) установка приспособлений, искажающих показания ПКУ.</w:t>
            </w:r>
          </w:p>
          <w:bookmarkEnd w:id="91"/>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области электроэнергетики в отношении энергопередающих организаций, утвержденный указанным совместным приказом, дополнить строками, порядковые номера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и 418, следующего содержания:</w:t>
      </w:r>
    </w:p>
    <w:bookmarkStart w:name="z377" w:id="92"/>
    <w:p>
      <w:pPr>
        <w:spacing w:after="0"/>
        <w:ind w:left="0"/>
        <w:jc w:val="both"/>
      </w:pPr>
      <w:r>
        <w:rPr>
          <w:rFonts w:ascii="Times New Roman"/>
          <w:b w:val="false"/>
          <w:i w:val="false"/>
          <w:color w:val="000000"/>
          <w:sz w:val="28"/>
        </w:rPr>
        <w:t>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213"/>
        <w:gridCol w:w="74"/>
        <w:gridCol w:w="74"/>
        <w:gridCol w:w="75"/>
        <w:gridCol w:w="75"/>
        <w:gridCol w:w="75"/>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чистоте помещения закрытых распределительных устройств.</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помещениях и коридорах закрытых распределительных устройств устраивать кладовые и подсобные сооружения, не относящиеся к распределительному устройству, а также хранить электротехническое оборудование, материалы, запасные части, емкости с горючими жидкостями и баллоны с различными газами.</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у входа первичных средств пожаротушения в помещении закрытых распределительных устройств на подстанциях с постоянным персоналом, а также на электростанциях. При делении закрытых распределительных устройств на секции посты пожаротушения располагаются в тамбурах или на площадках у лестничных клеток.</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журнала и журнала (или картотеку) дефектов и неполадок с оборудованием для занесения результатов осмотра и выявленных недостатков.</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установки указателей ближайшего выхода в кабельных сооружениях не реже, чем через 50 м.</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уплотнения для обеспечения огнестойкости не менее 0,75 ч места прохода кабелей через стены, перегородки и перекрытия.</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быстросъемных крышек в кабельных коробах типа "компрессорно-конденсаторные блоки".</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применение кабелей с горючей полиэтиленовой изоляцией при проведении реконструкции или ремонта.</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сгораемых материалов, не относящиеся к данной установке в помещениях подпитывающих устройств маслонаполненных кабелей.</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прокладки через кабельные сооружения каких-либо транзитных коммуникаций и шинопроводов, а также применение металлических люков со сплошным дном и коробов при реконструкции и ремонте.</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выполнения пучков кабелей диаметром более 100 мм.</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бортовых ограждении маслоприемных устройств по всему периметру гравийной засыпки без разрывов высотой не менее 150 мм над землей.</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соответствующих надписей на дверях помещения аккумуляторной батареи, а также необходимые запрещающие и предписывающие знаки безопасности.</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о мерах пожарной безопасности на видном месте.</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93"/>
          <w:p>
            <w:pPr>
              <w:spacing w:after="20"/>
              <w:ind w:left="20"/>
              <w:jc w:val="both"/>
            </w:pPr>
            <w:r>
              <w:rPr>
                <w:rFonts w:ascii="Times New Roman"/>
                <w:b w:val="false"/>
                <w:i w:val="false"/>
                <w:color w:val="000000"/>
                <w:sz w:val="20"/>
              </w:rPr>
              <w:t>
Наличие на каждом энергетическом предприятии следующей разрабатываемой документации по пожарной безопасности:</w:t>
            </w:r>
            <w:r>
              <w:br/>
            </w:r>
            <w:r>
              <w:rPr>
                <w:rFonts w:ascii="Times New Roman"/>
                <w:b w:val="false"/>
                <w:i w:val="false"/>
                <w:color w:val="000000"/>
                <w:sz w:val="20"/>
              </w:rPr>
              <w:t>
</w:t>
            </w:r>
            <w:r>
              <w:rPr>
                <w:rFonts w:ascii="Times New Roman"/>
                <w:b w:val="false"/>
                <w:i w:val="false"/>
                <w:color w:val="000000"/>
                <w:sz w:val="20"/>
              </w:rPr>
              <w:t>1) общая инструкция о мерах пожарной безопасности на предприятии;</w:t>
            </w:r>
            <w:r>
              <w:br/>
            </w:r>
            <w:r>
              <w:rPr>
                <w:rFonts w:ascii="Times New Roman"/>
                <w:b w:val="false"/>
                <w:i w:val="false"/>
                <w:color w:val="000000"/>
                <w:sz w:val="20"/>
              </w:rPr>
              <w:t>
</w:t>
            </w:r>
            <w:r>
              <w:rPr>
                <w:rFonts w:ascii="Times New Roman"/>
                <w:b w:val="false"/>
                <w:i w:val="false"/>
                <w:color w:val="000000"/>
                <w:sz w:val="20"/>
              </w:rPr>
              <w:t>2) инструкция по пожарной безопасности в цехах, лабораториях, мастерских, складах и других производственных и вспомогательных сооружениях;</w:t>
            </w:r>
            <w:r>
              <w:br/>
            </w:r>
            <w:r>
              <w:rPr>
                <w:rFonts w:ascii="Times New Roman"/>
                <w:b w:val="false"/>
                <w:i w:val="false"/>
                <w:color w:val="000000"/>
                <w:sz w:val="20"/>
              </w:rPr>
              <w:t>
</w:t>
            </w:r>
            <w:r>
              <w:rPr>
                <w:rFonts w:ascii="Times New Roman"/>
                <w:b w:val="false"/>
                <w:i w:val="false"/>
                <w:color w:val="000000"/>
                <w:sz w:val="20"/>
              </w:rPr>
              <w:t>3) инструкция по обслуживанию установок пожаротушения;</w:t>
            </w:r>
            <w:r>
              <w:br/>
            </w:r>
            <w:r>
              <w:rPr>
                <w:rFonts w:ascii="Times New Roman"/>
                <w:b w:val="false"/>
                <w:i w:val="false"/>
                <w:color w:val="000000"/>
                <w:sz w:val="20"/>
              </w:rPr>
              <w:t>
</w:t>
            </w:r>
            <w:r>
              <w:rPr>
                <w:rFonts w:ascii="Times New Roman"/>
                <w:b w:val="false"/>
                <w:i w:val="false"/>
                <w:color w:val="000000"/>
                <w:sz w:val="20"/>
              </w:rPr>
              <w:t>4) инструкция по обслуживанию установок пожарной сигнализации;</w:t>
            </w:r>
            <w:r>
              <w:br/>
            </w:r>
            <w:r>
              <w:rPr>
                <w:rFonts w:ascii="Times New Roman"/>
                <w:b w:val="false"/>
                <w:i w:val="false"/>
                <w:color w:val="000000"/>
                <w:sz w:val="20"/>
              </w:rPr>
              <w:t>
</w:t>
            </w:r>
            <w:r>
              <w:rPr>
                <w:rFonts w:ascii="Times New Roman"/>
                <w:b w:val="false"/>
                <w:i w:val="false"/>
                <w:color w:val="000000"/>
                <w:sz w:val="20"/>
              </w:rPr>
              <w:t>5) оперативный план пожаротушения для всех тепловых и гидравлических электростанций, независимо от мощности, и подстанций напряжением 500 кВ и выше;</w:t>
            </w:r>
            <w:r>
              <w:br/>
            </w:r>
            <w:r>
              <w:rPr>
                <w:rFonts w:ascii="Times New Roman"/>
                <w:b w:val="false"/>
                <w:i w:val="false"/>
                <w:color w:val="000000"/>
                <w:sz w:val="20"/>
              </w:rPr>
              <w:t>
</w:t>
            </w:r>
            <w:r>
              <w:rPr>
                <w:rFonts w:ascii="Times New Roman"/>
                <w:b w:val="false"/>
                <w:i w:val="false"/>
                <w:color w:val="000000"/>
                <w:sz w:val="20"/>
              </w:rPr>
              <w:t>6) оперативные карточки пожаротушения для подстанций напряжением от 35 кВ и выше;</w:t>
            </w:r>
            <w:r>
              <w:br/>
            </w:r>
            <w:r>
              <w:rPr>
                <w:rFonts w:ascii="Times New Roman"/>
                <w:b w:val="false"/>
                <w:i w:val="false"/>
                <w:color w:val="000000"/>
                <w:sz w:val="20"/>
              </w:rPr>
              <w:t>
</w:t>
            </w:r>
            <w:r>
              <w:rPr>
                <w:rFonts w:ascii="Times New Roman"/>
                <w:b w:val="false"/>
                <w:i w:val="false"/>
                <w:color w:val="000000"/>
                <w:sz w:val="20"/>
              </w:rPr>
              <w:t>7) инструкции по эксплуатации систем водоснабжения, установок обнаружения и тушения пожара;</w:t>
            </w:r>
            <w:r>
              <w:br/>
            </w:r>
            <w:r>
              <w:rPr>
                <w:rFonts w:ascii="Times New Roman"/>
                <w:b w:val="false"/>
                <w:i w:val="false"/>
                <w:color w:val="000000"/>
                <w:sz w:val="20"/>
              </w:rPr>
              <w:t>
8) инструкции по эксплуатации оборудования, зданий и сооружений, систем управления, защиты, телемеханики, связи и комплекса технических средств автоматизированной системы управления.</w:t>
            </w:r>
          </w:p>
          <w:bookmarkEnd w:id="93"/>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свободного проезда автомобилей и людей вокруг зданий и дороги на территории энергетического предприятия.</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указателей для выхода персонала на путях эвакуации.</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исправном состоянии рабочего и аварийного освещения.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информация о выполнении замечаний, выданных с паспортом готовности, в государственный орган по государственному энергетическому надзору и контролю, его территориальным подразделениям не позднее трех рабочих дней со дня истечения срока выполнения замечания.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прекращения энергопередающей организацией полностью или частично подачи электрической энергии при наличии заявки энергоснабжающей организации на прекращение (ограничение) электрической энергии.</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подключения потребителя, отключенного за нарушение условий договора электроснабжения, в течение 1 (одного) рабочего дня, после обращения Потребителя с приложением документов, подтверждающих устранение нарушения и оплаты услуги за подключение.</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об осмотре коммерческого учета произвольной формы, с фиксацией в нем наличия или отсутствия пломбы (клейма) или пломбировочного устройства о первичной или периодической поверке организации, имеющей на это право, целостности стекла и корпуса прибора коммерческого учета, наличие или отсутствие пломбировочного устройства энергопередающей организации в местах, ранее установленных энергопередающей организацией, при визуальном осмотре 1 (один) раз в полугодие при снятии показаний прибора коммерческого учета.</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перерасчета, исходя из фактической подключенной нагрузки с учетом часов использования 24 часа в сутки, но не больше разрешенной мощности согласно техническим условиям, при этом период перерасчета определяется за все время со дня последней замены прибора коммерческого учета или последней инструментальной проверки схемы его включения, но не более одного года.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и перерасчета объема использованной энергии по фактически подключенной нагрузке с момента приобретения прав собственности, но не более одного года при обнаружении самовольного подключения к электрическим сетям энергопередающей организаций.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электроустановки в эксплуатацию при обнаружении в электроустановках потребителей недостатков в монтаже, отступлений от выданных технических условий, проектной документации и требований нормативно-технических документов.</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таблички на основном и вспомогательном оборудовании подстанции с номинальными данными согласно инструкции завода-изготовителя на это оборудование.</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инструкциях, схемах и чертежах всех изменений в энергоустановках, выполненных в процессе эксплуатации и внесенных за подписью контролирующего лица с указанием его должности и даты внесения изменения.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зданий и сооружений в исправном состоянии.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технического освидетельствования строительных конструкции основных производственных зданий и сооружений по перечню, утвержденному руководителем энергообъекта, согласованного с генеральным проектировщиком, один раз в 5 лет специализированной организацией.</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электродвигателях и приводимых ими механизмах стрелок, указывающих направление вращения.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электродвигателях и их пусковых устройствах надписей с наименованием агрегата, к которому они относятся.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баках трансформаторов и реакторов наружной установки станционных (подстанционных) номеров, а также наличие таких же номеров на двери и внутренней поверхности трансформаторных пунктов и камер.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расцветки фазы на баках однофазного трансформатора и реактора.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питания электродвигателей устройств охлаждения трансформаторов (реакторов) от двух источников, а для трансформаторов (реакторов) с принудительной циркуляцией масла – с применением автоматического ввода резерва.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Недопущения эксплуатации трансформаторов и реакторов с искусственным охлаждением без включенных в работу устройств сигнализации о прекращении циркуляции масла, охлаждающей воды или об останове вентиляторов.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на рукоятки приводов заземляющих ножей окрашивания в красный цвет, а заземляющих ножей окрашивание в полосы (белого и красного цветов).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предохранительных щитках и (или) у предохранителей присоединений надписи, указывающей номинальный ток плавкой вставки.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обозначения расцветки фаз на металлических частях корпусов оборудования.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приводах разъединителей, заземляющих ножей, отделителей, короткозамыкателей и других аппаратов, отделенных от аппаратов стенкой, указателей отключенного и включенного положений.</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дверях помещения аккумуляторной батареи надписи "Аккумуляторная", "Огнеопасно", "Запрещается курить" и соответствующих знаков безопасности о недопущении пользоваться открытым огнем и курить.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каждой аккумуляторной установке журнала с записями об осмотре и объемах проведенных работ.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паспорта для каждой кабельной линии с указанием основных данных по линии.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журнале дефектов и неполадок, о выявленных нарушениях на кабельных линиях при осмотрах.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рубильников, защищенные несгораемыми кожухами без отверстий и щелей с непосредственным ручным управлением (без привода), предназначенные для включения и отключения тока нагрузки и имеющие контакты, обращенные к оператору, при этом рубильники, предназначенные лишь для снятия напряжения, допускается устанавливать открыто, при условии, что они недоступны для неквалифицированного персонала.</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указателя положения выключателя на выключателе, и на приводе, если выключатель не имеет открытых контактов и его привод отделен стеной от выключателя.</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распределительных устройствах и на подстанции выше 1 кВ стационарных заземляющих ножей.</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заземляющих ножей у других разъединителей на участке схемы, расположенные со стороны возможной подачи напряжения, в случае отключения заземляющих ножей в процессе их ремонта или ремонта разъединителя, оснащенного заземляющим ножом, за исключением заземляющих ножей со стороны линии линейных разъединителей (при отсутствии обходной системы шин) и заземляющих ножей, установленных как самостоятельные аппараты отдельно от разъединителей, а РУ в исполнении КРУЭ.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окрашивания заземляющих ножей в полосы белого и красного цветов, рукоятки приводов заземляющих ножей в красный цвет, а рукоятки других приводов - в цвета оборудования.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токоведущих и заземляющих шинах подготовленных контактных поверхностей для присоединения переносных заземляющих проводников, в местах, в которых стационарные заземляющие ножи не применяются.</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между дверью и барьером не менее 0,5 м или площадки перед дверью для осмотра при высоте пола камер над уровнем земли более 0,3 м.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расположения указателей уровня и температуры масла маслонаполненных трансформаторов и аппаратов и указателей, характеризующих состояние оборудования, обеспечивающие удобное и безопасное условие для доступа к ним и наблюдения за ними без снятия напряжения.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уровня пола или поверхности земли до крана трансформатора или аппарата не менее 0,2 м или соответствующего приямка для отбора проб масла.</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электропроводки цепей защиты, измерения, сигнализации и освещения, проложенной по электротехническим устройствам с масляным наполнением.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окрашивания трансформаторов, реакторов и конденсаторов наружной установки в светлые тона красками, стойкими к атмосферным воздействиям и воздействию масла, для уменьшения нагрева прямыми лучами солнца.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распределительных устройств и подстанции оборудованные электрическим освещением, при этом осветительная арматура установлена таким образом, что обеспечено ее безопасное обслуживание.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соединения гибких проводов в пролетах опрессовкой, а соединения в петлях у опор, присоединения ответвлений в пролете и присоединения к аппаратным зажимам - сваркой или опрессовкой, а также выполнение присоединения ответвлений в пролете без разрезания проводов пролета.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пайки и скрутки проводов.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ответвления от сборных шин открытого распределительного устройства ниже сборных шин.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подвески ошиновки одним пролетом над двумя и более секциями или системами сборных шин.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прокладки воздушных осветительных линий, линий связи и сигнализации над и под токоведущими частями открытыми распределительными устройствами.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противопожарного расстояния от зданий трансформаторной мастерской и аппаратной маслохозяйства, а также от складов масла до ограды открытого распределительного устройства не менее 6 м.</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зданий закрытого распределительного устройства до других производственных зданий не менее 7 м, при этом указанное расстояние может не соблюдаться при условии, что стена закрытого распределительного устройства, обращенная в сторону другого здания, будет сооружена как противопожарная с пределом огнестойкости 2,5 часов.</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складов водорода до открытого распределительного устройства, трансформаторов, синхронных компенсаторов не менее 50 м.</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94"/>
          <w:p>
            <w:pPr>
              <w:spacing w:after="20"/>
              <w:ind w:left="20"/>
              <w:jc w:val="both"/>
            </w:pPr>
            <w:r>
              <w:rPr>
                <w:rFonts w:ascii="Times New Roman"/>
                <w:b w:val="false"/>
                <w:i w:val="false"/>
                <w:color w:val="000000"/>
                <w:sz w:val="20"/>
              </w:rPr>
              <w:t>
Наличие маслоприемников, маслоотводов и маслосборников для предотвращения растекания масла и распространения пожара при повреждениях маслонаполненных силовых трансформаторов (реакторов) с массой масла более 1 тонны в единице (одном баке) и баковых выключателей 110 кВ и выше с соблюдением следующих требований:</w:t>
            </w:r>
            <w:r>
              <w:br/>
            </w:r>
            <w:r>
              <w:rPr>
                <w:rFonts w:ascii="Times New Roman"/>
                <w:b w:val="false"/>
                <w:i w:val="false"/>
                <w:color w:val="000000"/>
                <w:sz w:val="20"/>
              </w:rPr>
              <w:t>
</w:t>
            </w:r>
            <w:r>
              <w:rPr>
                <w:rFonts w:ascii="Times New Roman"/>
                <w:b w:val="false"/>
                <w:i w:val="false"/>
                <w:color w:val="000000"/>
                <w:sz w:val="20"/>
              </w:rPr>
              <w:t>1) габариты маслоприемника выступают за габариты единичного электрооборудования не менее чем на 0,6 м при массе масла до 2 тонн; 1 м при массе более 2 до 10 тонн 1,5 м при массе более 10 до 50 тонн 2 м при массе более 50 тонн. При этом, габарит маслоприемника может быть принят меньшим на 0,5 м со стороны стены или перегородки, располагаемой от трансформатора на расстоянии менее 2 м.</w:t>
            </w:r>
            <w:r>
              <w:br/>
            </w:r>
            <w:r>
              <w:rPr>
                <w:rFonts w:ascii="Times New Roman"/>
                <w:b w:val="false"/>
                <w:i w:val="false"/>
                <w:color w:val="000000"/>
                <w:sz w:val="20"/>
              </w:rPr>
              <w:t>
</w:t>
            </w:r>
            <w:r>
              <w:rPr>
                <w:rFonts w:ascii="Times New Roman"/>
                <w:b w:val="false"/>
                <w:i w:val="false"/>
                <w:color w:val="000000"/>
                <w:sz w:val="20"/>
              </w:rPr>
              <w:t>Объем маслоприемника рассчитан на одновременный прием 100 % масла, содержащегося в корпусе трансформатора (реактора).</w:t>
            </w:r>
            <w:r>
              <w:br/>
            </w:r>
            <w:r>
              <w:rPr>
                <w:rFonts w:ascii="Times New Roman"/>
                <w:b w:val="false"/>
                <w:i w:val="false"/>
                <w:color w:val="000000"/>
                <w:sz w:val="20"/>
              </w:rPr>
              <w:t>
</w:t>
            </w:r>
            <w:r>
              <w:rPr>
                <w:rFonts w:ascii="Times New Roman"/>
                <w:b w:val="false"/>
                <w:i w:val="false"/>
                <w:color w:val="000000"/>
                <w:sz w:val="20"/>
              </w:rPr>
              <w:t>У баковых выключателей маслоприемники рассчитан на прием 80 % масла, содержащегося в одном баке;</w:t>
            </w:r>
            <w:r>
              <w:br/>
            </w:r>
            <w:r>
              <w:rPr>
                <w:rFonts w:ascii="Times New Roman"/>
                <w:b w:val="false"/>
                <w:i w:val="false"/>
                <w:color w:val="000000"/>
                <w:sz w:val="20"/>
              </w:rPr>
              <w:t>
</w:t>
            </w:r>
            <w:r>
              <w:rPr>
                <w:rFonts w:ascii="Times New Roman"/>
                <w:b w:val="false"/>
                <w:i w:val="false"/>
                <w:color w:val="000000"/>
                <w:sz w:val="20"/>
              </w:rPr>
              <w:t>2) устройство маслоприемников и маслоотводов исключает переток масла (воды) из одного маслоприемника в другой, растекания масла по кабельным и другим подземным сооружениям, распространения пожара, засорения маслоотвода и забивку его снегом, льдом;</w:t>
            </w:r>
            <w:r>
              <w:br/>
            </w:r>
            <w:r>
              <w:rPr>
                <w:rFonts w:ascii="Times New Roman"/>
                <w:b w:val="false"/>
                <w:i w:val="false"/>
                <w:color w:val="000000"/>
                <w:sz w:val="20"/>
              </w:rPr>
              <w:t>
</w:t>
            </w:r>
            <w:r>
              <w:rPr>
                <w:rFonts w:ascii="Times New Roman"/>
                <w:b w:val="false"/>
                <w:i w:val="false"/>
                <w:color w:val="000000"/>
                <w:sz w:val="20"/>
              </w:rPr>
              <w:t>3) для трансформаторов (реакторов) мощностью до 10 МВА допускается выполнение маслоприемников без отвода масла. При этом, маслоприемники должны выполняться заглубленными, рассчитанными на полный объем масла, содержащегося в установленном над ними оборудовании, и закрываться металлической решеткой, поверх которой должен быть насыпан толщиной не менее 0,25 м слой чистого гравия или промытого гранитного щебня либо непористого щебня другой породы с частицами от 30 до 70 мм.</w:t>
            </w:r>
            <w:r>
              <w:br/>
            </w:r>
            <w:r>
              <w:rPr>
                <w:rFonts w:ascii="Times New Roman"/>
                <w:b w:val="false"/>
                <w:i w:val="false"/>
                <w:color w:val="000000"/>
                <w:sz w:val="20"/>
              </w:rPr>
              <w:t>
</w:t>
            </w:r>
            <w:r>
              <w:rPr>
                <w:rFonts w:ascii="Times New Roman"/>
                <w:b w:val="false"/>
                <w:i w:val="false"/>
                <w:color w:val="000000"/>
                <w:sz w:val="20"/>
              </w:rPr>
              <w:t>Удаление масла и воды из заглубленного маслоприемника предусмотрено переносным насосным агрегатом. При применении маслоприемника без отвода масла выполняется простейшее устройство для проверки отсутствия масла (воды) в маслоприемнике;</w:t>
            </w:r>
            <w:r>
              <w:br/>
            </w:r>
            <w:r>
              <w:rPr>
                <w:rFonts w:ascii="Times New Roman"/>
                <w:b w:val="false"/>
                <w:i w:val="false"/>
                <w:color w:val="000000"/>
                <w:sz w:val="20"/>
              </w:rPr>
              <w:t>
</w:t>
            </w:r>
            <w:r>
              <w:rPr>
                <w:rFonts w:ascii="Times New Roman"/>
                <w:b w:val="false"/>
                <w:i w:val="false"/>
                <w:color w:val="000000"/>
                <w:sz w:val="20"/>
              </w:rPr>
              <w:t>4) Маслоприемники с отводом масла выполняются как заглубленного типа (дно ниже уровня окружающей планировки земли), так и незаглубленного типа (дно на уровне окружающей планировки земли).</w:t>
            </w:r>
            <w:r>
              <w:br/>
            </w:r>
            <w:r>
              <w:rPr>
                <w:rFonts w:ascii="Times New Roman"/>
                <w:b w:val="false"/>
                <w:i w:val="false"/>
                <w:color w:val="000000"/>
                <w:sz w:val="20"/>
              </w:rPr>
              <w:t>
</w:t>
            </w:r>
            <w:r>
              <w:rPr>
                <w:rFonts w:ascii="Times New Roman"/>
                <w:b w:val="false"/>
                <w:i w:val="false"/>
                <w:color w:val="000000"/>
                <w:sz w:val="20"/>
              </w:rPr>
              <w:t>При выполнении заглубленного маслоприемника устройство бортовых ограждений не требуется, если при этом, обеспечивается объем маслоприемника.</w:t>
            </w:r>
            <w:r>
              <w:br/>
            </w:r>
            <w:r>
              <w:rPr>
                <w:rFonts w:ascii="Times New Roman"/>
                <w:b w:val="false"/>
                <w:i w:val="false"/>
                <w:color w:val="000000"/>
                <w:sz w:val="20"/>
              </w:rPr>
              <w:t>
</w:t>
            </w:r>
            <w:r>
              <w:rPr>
                <w:rFonts w:ascii="Times New Roman"/>
                <w:b w:val="false"/>
                <w:i w:val="false"/>
                <w:color w:val="000000"/>
                <w:sz w:val="20"/>
              </w:rPr>
              <w:t>Незаглубленный маслоприемник должен выполняться в виде бортовых ограждений маслонаполненного оборудования. Высота бортовых ограждений должна быть не менее 0,25 и не более 0,5 м над уровнем окружающей планировки.</w:t>
            </w:r>
            <w:r>
              <w:br/>
            </w:r>
            <w:r>
              <w:rPr>
                <w:rFonts w:ascii="Times New Roman"/>
                <w:b w:val="false"/>
                <w:i w:val="false"/>
                <w:color w:val="000000"/>
                <w:sz w:val="20"/>
              </w:rPr>
              <w:t>
</w:t>
            </w:r>
            <w:r>
              <w:rPr>
                <w:rFonts w:ascii="Times New Roman"/>
                <w:b w:val="false"/>
                <w:i w:val="false"/>
                <w:color w:val="000000"/>
                <w:sz w:val="20"/>
              </w:rPr>
              <w:t>Дно маслоприемника (заглубленного и незаглубленного) должно быть засыпано крупным чистым гравием или промытым гранитным щебнем либо непористым щебнем другой породы с частицами от 30 до 70 мм. Толщина засыпки должна быть не менее 0,25 м;</w:t>
            </w:r>
            <w:r>
              <w:br/>
            </w:r>
            <w:r>
              <w:rPr>
                <w:rFonts w:ascii="Times New Roman"/>
                <w:b w:val="false"/>
                <w:i w:val="false"/>
                <w:color w:val="000000"/>
                <w:sz w:val="20"/>
              </w:rPr>
              <w:t>
</w:t>
            </w:r>
            <w:r>
              <w:rPr>
                <w:rFonts w:ascii="Times New Roman"/>
                <w:b w:val="false"/>
                <w:i w:val="false"/>
                <w:color w:val="000000"/>
                <w:sz w:val="20"/>
              </w:rPr>
              <w:t>5) при установке маслонаполненного электрооборудования на железобетонном перекрытии здания (сооружения) устройство маслоотвода является обязательным;</w:t>
            </w:r>
            <w:r>
              <w:br/>
            </w:r>
            <w:r>
              <w:rPr>
                <w:rFonts w:ascii="Times New Roman"/>
                <w:b w:val="false"/>
                <w:i w:val="false"/>
                <w:color w:val="000000"/>
                <w:sz w:val="20"/>
              </w:rPr>
              <w:t>
</w:t>
            </w:r>
            <w:r>
              <w:rPr>
                <w:rFonts w:ascii="Times New Roman"/>
                <w:b w:val="false"/>
                <w:i w:val="false"/>
                <w:color w:val="000000"/>
                <w:sz w:val="20"/>
              </w:rPr>
              <w:t>6) маслоотводы должны обеспечивать отвод из маслоприемника масла и воды, применяемой для тушения пожара автоматическими стационарными устройствами, на безопасное в пожарном отношении расстояние от оборудования и сооружений, 50 % масла и полное количество воды должны удаляться не более чем за 0,25 часов. Маслоотводы выполняются в виде подземных трубопроводов или открытых кюветов и лотков;</w:t>
            </w:r>
            <w:r>
              <w:br/>
            </w:r>
            <w:r>
              <w:rPr>
                <w:rFonts w:ascii="Times New Roman"/>
                <w:b w:val="false"/>
                <w:i w:val="false"/>
                <w:color w:val="000000"/>
                <w:sz w:val="20"/>
              </w:rPr>
              <w:t xml:space="preserve">
7) маслосборники должны быть рассчитаны на полный объем масла единичного оборудования, содержащего наибольшее количество масла, и должны выполняться закрытого типа. </w:t>
            </w:r>
          </w:p>
          <w:bookmarkEnd w:id="94"/>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на участках ВЛ, подверженных интенсивному загрязнению, специальной или усиленной изоляции.</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устройств над изолирующими подвесками, исключающие возможность посадки птиц или отпугивающие птиц и не угрожающие их жизни, в зонах интенсивных загрязнений изоляции птицами и в местах массовых гнездований.</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не более двух соединителей на каждом проводе или тросе, при эксплуатации ВЛ в пролетах пересечения действующей линии с другими ВЛ и линиями связи.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хранение аварийного запаса материалов и деталей согласно нормам утвержденным техническим руководителем организации, в целях своевременной ликвидации аварийных повреждений на ВЛ.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размещения ВЛ так, чтобы опоры не загораживали входов в здания и въездов во дворы и не затрудняли движения транспорта и пешеходов.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опоры от наезда, в местах, где имеется опасность наезда транспорта (у въездов во дворы, вблизи съездов с дорог, при пересечении дорог).</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от проводов до деревьев и кустов при наибольшей стреле провеса самонесущего изолированного провода и наибольшем их отклонении не менее 0,3 м.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одной ВЛ, не более двух сечений проводов.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магистрали ВЛ проводами одного сечения.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сечения фазных проводов магистрали ВЛ не менее 50 мм2.</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Недопущения применения фазных проводов сечением 120 мм2 в магистрали ВЛ.</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ответвлений от ВЛ к вводам в здания, изолированными проводами, стойкими к воздействию условий окружающей среды, сечением не менее 6 мм2 по меди и 16 мм2 по алюминию.</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одинарного крепления неизолированных проводов к изоляторам и изолирующим траверсам на опорах ВЛ, за исключением опор для пересечений.</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крепления проводов к штыревым изоляторам на промежуточных опорах на шейке изолятора, с внутренней его стороны по отношению к стойке опоры, при помощи проволочной вязки или зажимов.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глухого крепления провода, при ответвлений от ВЛ к вводам.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соединения проводов в пролетах ВЛ при помощи соединительных зажимов, обеспечивающих механическую прочность от разрывного усилия провода.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соединения проводов из разных металлов или разных сечений только в петлях анкерных опор при помощи переходных зажимов или сварки.</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одном пролете ВЛ не более одного соединения на каждый провод.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двухцепных ВЛ в сетях с заземленной нейтралью, нулевого провода каждой цепи.</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многошейковых или дополнительных изоляторов в местах ответвлений от ВЛ.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закрепления нулевых проводов на изоляторах или изолирующих траверсах.</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опорах ВЛ заземляющих устройств, предназначенных для повторного заземления нулевого провода, защиты от атмосферных перенапряжений, заземления электрооборудования, установленного на опорах ВЛ.</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совмещения заземляющих устройств защиты от грозовых перенапряжений с повторным заземлением нулевого провода.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присоединения защитным проводником металлических опор, металлических конструкций и арматуры железобетонных опор к нулевому проводу.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присоединения нулевого провода на железобетонных опорах к заземляющему выпуску арматуры железобетонных стоек и подкосов опор.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присоединения оттяжек опор ВЛ к заземляющему проводнику.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заземления крюков, штырей и арматуры опор ВЛ напряжением до 1 кВ, ограничивающих пролет пересечения, а также на опорах, на которых производится совместная подвеска, при этом сопротивление заземляющего устройства должно быть не более 30 Ом.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к заземлителю защитных аппаратов, устанавливаемых на опорах ВЛ для защиты от грозовых перенапряжений, отдельным спуском.</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устройств, предназначенных для защиты от атмосферных перенапряжений в населенной местности с одно- и двухэтажной застройкой, на ВЛ, не экранированные промышленными дымовыми трубами, высокими деревьями, зданиями, с сопротивлением этих заземляющих устройств не более 30 Ом, а расстояние между ними должны быть - не более 200 м для районов с числом грозовых часов в году до 40 и 100 м для районов с числом грозовых часов в году более 40.</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95"/>
          <w:p>
            <w:pPr>
              <w:spacing w:after="20"/>
              <w:ind w:left="20"/>
              <w:jc w:val="both"/>
            </w:pPr>
            <w:r>
              <w:rPr>
                <w:rFonts w:ascii="Times New Roman"/>
                <w:b w:val="false"/>
                <w:i w:val="false"/>
                <w:color w:val="000000"/>
                <w:sz w:val="20"/>
              </w:rPr>
              <w:t>
Выполнение заземляющих устройств:</w:t>
            </w:r>
            <w:r>
              <w:br/>
            </w:r>
            <w:r>
              <w:rPr>
                <w:rFonts w:ascii="Times New Roman"/>
                <w:b w:val="false"/>
                <w:i w:val="false"/>
                <w:color w:val="000000"/>
                <w:sz w:val="20"/>
              </w:rPr>
              <w:t>
</w:t>
            </w:r>
            <w:r>
              <w:rPr>
                <w:rFonts w:ascii="Times New Roman"/>
                <w:b w:val="false"/>
                <w:i w:val="false"/>
                <w:color w:val="000000"/>
                <w:sz w:val="20"/>
              </w:rPr>
              <w:t>1) на опорах с ответвлениями к вводам в помещения, в которых может быть сосредоточено большое количество людей (школы, ясли, больницы) и которые представляют большую хозяйственную ценность (животноводческие помещения, склады, мастерские);</w:t>
            </w:r>
            <w:r>
              <w:br/>
            </w:r>
            <w:r>
              <w:rPr>
                <w:rFonts w:ascii="Times New Roman"/>
                <w:b w:val="false"/>
                <w:i w:val="false"/>
                <w:color w:val="000000"/>
                <w:sz w:val="20"/>
              </w:rPr>
              <w:t>
2) на конечных опорах линий, имеющих ответвления к вводам, при этом, наибольшее расстояние от соседнего защитного заземления этих же линий должно быть не более 100 м - для районов с числом грозовых часов в году до 40 и 50 м - для районов с числом грозовых часов в году более 40.</w:t>
            </w:r>
          </w:p>
          <w:bookmarkEnd w:id="95"/>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соединения заземляющих проводников между собой, присоединения их к верхним заземляющим выпускам стоек железобетонных опор, крюкам и кронштейнам, а также к заземляемым металлоконструкциям и заземляемому электрооборудованию, установленному на опорах ВЛ сваркой или с помощью болтовых соединений.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присоединения заземляющих проводников (спусков) к заземлителю в земле сваркой или с помощью болтовых соединений.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однопроволочных стальных оттяжек сечением не менее 25 мм2.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отклонения вершины анкерной опоры с учетом поворота в грунте не более 1/30Н, где Н - высота опоры ВЛ.</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от проводов ВЛ в населенной и ненаселенной местности при наибольшей стреле провеса проводов до поверхности земли и проезжей части улиц должно быть не менее 6 м.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96"/>
          <w:p>
            <w:pPr>
              <w:spacing w:after="20"/>
              <w:ind w:left="20"/>
              <w:jc w:val="both"/>
            </w:pPr>
            <w:r>
              <w:rPr>
                <w:rFonts w:ascii="Times New Roman"/>
                <w:b w:val="false"/>
                <w:i w:val="false"/>
                <w:color w:val="000000"/>
                <w:sz w:val="20"/>
              </w:rPr>
              <w:t>
Соблюдение расстояния по горизонтали от проводов ВЛ при наибольшем их отклонении до зданий, строений и сооружений не менее:</w:t>
            </w:r>
            <w:r>
              <w:br/>
            </w:r>
            <w:r>
              <w:rPr>
                <w:rFonts w:ascii="Times New Roman"/>
                <w:b w:val="false"/>
                <w:i w:val="false"/>
                <w:color w:val="000000"/>
                <w:sz w:val="20"/>
              </w:rPr>
              <w:t>
</w:t>
            </w:r>
            <w:r>
              <w:rPr>
                <w:rFonts w:ascii="Times New Roman"/>
                <w:b w:val="false"/>
                <w:i w:val="false"/>
                <w:color w:val="000000"/>
                <w:sz w:val="20"/>
              </w:rPr>
              <w:t>1) 1,5 м - до балконов, террас и окон;</w:t>
            </w:r>
            <w:r>
              <w:br/>
            </w:r>
            <w:r>
              <w:rPr>
                <w:rFonts w:ascii="Times New Roman"/>
                <w:b w:val="false"/>
                <w:i w:val="false"/>
                <w:color w:val="000000"/>
                <w:sz w:val="20"/>
              </w:rPr>
              <w:t xml:space="preserve">
2) 1 м - до глухих стен. </w:t>
            </w:r>
          </w:p>
          <w:bookmarkEnd w:id="96"/>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Недопущения прохождения ВЛ с неизолированными проводами над зданиями, строениями и сооружениями, за исключением ответвлений от ВЛ к вводам в здания.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в помещениях и коридорах закрытых распределительных устройств наличия кладовых и подсобных сооружений, не относящиеся к распределительному устройству, а также хранение электротехнического оборудования, материалов, запасных частей, емкостей с горючими жидкостями и баллонов с различными газами.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графика чистки электротехнического оборудования закрытых распределительных устройств, утвержденного техническим руководителем, с обязательным выполнением организационных и технических мероприятий.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кабельных каналов закрытых распределительных устройств и наземных кабельных лотков открытых распределительных устройств закрытых плитами.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97"/>
          <w:p>
            <w:pPr>
              <w:spacing w:after="20"/>
              <w:ind w:left="20"/>
              <w:jc w:val="both"/>
            </w:pPr>
            <w:r>
              <w:rPr>
                <w:rFonts w:ascii="Times New Roman"/>
                <w:b w:val="false"/>
                <w:i w:val="false"/>
                <w:color w:val="000000"/>
                <w:sz w:val="20"/>
              </w:rPr>
              <w:t>
Выполнение кабельных линии, так чтобы в процессе монтажа и эксплуатации было исключено возникновение в них опасных механических напряжений и повреждений:</w:t>
            </w:r>
            <w:r>
              <w:br/>
            </w:r>
            <w:r>
              <w:rPr>
                <w:rFonts w:ascii="Times New Roman"/>
                <w:b w:val="false"/>
                <w:i w:val="false"/>
                <w:color w:val="000000"/>
                <w:sz w:val="20"/>
              </w:rPr>
              <w:t>
</w:t>
            </w:r>
            <w:r>
              <w:rPr>
                <w:rFonts w:ascii="Times New Roman"/>
                <w:b w:val="false"/>
                <w:i w:val="false"/>
                <w:color w:val="000000"/>
                <w:sz w:val="20"/>
              </w:rPr>
              <w:t>1) кабели должны быть уложены с запасом по длине, достаточным для компенсации возможных смещений почвы и температурных деформаций самих кабелей и конструкций, по которым они проложены; укладывать запас кабеля в виде колец (витков) не допускается;</w:t>
            </w:r>
            <w:r>
              <w:br/>
            </w:r>
            <w:r>
              <w:rPr>
                <w:rFonts w:ascii="Times New Roman"/>
                <w:b w:val="false"/>
                <w:i w:val="false"/>
                <w:color w:val="000000"/>
                <w:sz w:val="20"/>
              </w:rPr>
              <w:t>
</w:t>
            </w:r>
            <w:r>
              <w:rPr>
                <w:rFonts w:ascii="Times New Roman"/>
                <w:b w:val="false"/>
                <w:i w:val="false"/>
                <w:color w:val="000000"/>
                <w:sz w:val="20"/>
              </w:rPr>
              <w:t>2) кабели, проложенные горизонтально по конструкциям, стенам, перекрытиям, должны быть жестко закреплены в конечных точках, непосредственно у концевых заделок, с обеих сторон изгибов и у соединительных и стопорных муфт;</w:t>
            </w:r>
            <w:r>
              <w:br/>
            </w:r>
            <w:r>
              <w:rPr>
                <w:rFonts w:ascii="Times New Roman"/>
                <w:b w:val="false"/>
                <w:i w:val="false"/>
                <w:color w:val="000000"/>
                <w:sz w:val="20"/>
              </w:rPr>
              <w:t>
</w:t>
            </w:r>
            <w:r>
              <w:rPr>
                <w:rFonts w:ascii="Times New Roman"/>
                <w:b w:val="false"/>
                <w:i w:val="false"/>
                <w:color w:val="000000"/>
                <w:sz w:val="20"/>
              </w:rPr>
              <w:t>3) кабели, проложенные вертикально по конструкциям и стенам, должны быть закреплены так, чтобы была предотвращена деформация оболочек и не нарушались соединения жил в муфтах под действием собственного веса кабелей;</w:t>
            </w:r>
            <w:r>
              <w:br/>
            </w:r>
            <w:r>
              <w:rPr>
                <w:rFonts w:ascii="Times New Roman"/>
                <w:b w:val="false"/>
                <w:i w:val="false"/>
                <w:color w:val="000000"/>
                <w:sz w:val="20"/>
              </w:rPr>
              <w:t>
</w:t>
            </w:r>
            <w:r>
              <w:rPr>
                <w:rFonts w:ascii="Times New Roman"/>
                <w:b w:val="false"/>
                <w:i w:val="false"/>
                <w:color w:val="000000"/>
                <w:sz w:val="20"/>
              </w:rPr>
              <w:t>4) конструкции, на которые укладываются небронированные кабели, должны быть выполнены таким образом, чтобы была исключена возможность механического повреждения оболочек кабелей, в местах жесткого крепления оболочки этих кабелей должны быть предохранены от механических повреждений и коррозии при помощи эластичных прокладок;</w:t>
            </w:r>
            <w:r>
              <w:br/>
            </w:r>
            <w:r>
              <w:rPr>
                <w:rFonts w:ascii="Times New Roman"/>
                <w:b w:val="false"/>
                <w:i w:val="false"/>
                <w:color w:val="000000"/>
                <w:sz w:val="20"/>
              </w:rPr>
              <w:t>
</w:t>
            </w:r>
            <w:r>
              <w:rPr>
                <w:rFonts w:ascii="Times New Roman"/>
                <w:b w:val="false"/>
                <w:i w:val="false"/>
                <w:color w:val="000000"/>
                <w:sz w:val="20"/>
              </w:rPr>
              <w:t>5) кабели (в том числе бронированные), расположенные в местах, где возможны механические повреждения (передвижение автотранспорта, механизмов и грузов) доступность для посторонних лиц), должны быть защищены по высоте на 2 м от уровня пола или земли и на 0,3 м в земле;</w:t>
            </w:r>
            <w:r>
              <w:br/>
            </w:r>
            <w:r>
              <w:rPr>
                <w:rFonts w:ascii="Times New Roman"/>
                <w:b w:val="false"/>
                <w:i w:val="false"/>
                <w:color w:val="000000"/>
                <w:sz w:val="20"/>
              </w:rPr>
              <w:t>
</w:t>
            </w:r>
            <w:r>
              <w:rPr>
                <w:rFonts w:ascii="Times New Roman"/>
                <w:b w:val="false"/>
                <w:i w:val="false"/>
                <w:color w:val="000000"/>
                <w:sz w:val="20"/>
              </w:rPr>
              <w:t>6) при прокладке кабелей рядом с другими кабелями, находящимися в эксплуатации должны быть приняты меры для предотвращения повреждения последних;</w:t>
            </w:r>
            <w:r>
              <w:br/>
            </w:r>
            <w:r>
              <w:rPr>
                <w:rFonts w:ascii="Times New Roman"/>
                <w:b w:val="false"/>
                <w:i w:val="false"/>
                <w:color w:val="000000"/>
                <w:sz w:val="20"/>
              </w:rPr>
              <w:t xml:space="preserve">
7) кабели должны прокладываться на расстоянии от нагретых поверхностей, предотвращающем нагрев кабелей выше допустимого, при этом, должна предусматриваться защита кабелей от прорыва горячих веществ в местах установки задвижек и фланцевых соединений. </w:t>
            </w:r>
          </w:p>
          <w:bookmarkEnd w:id="97"/>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98"/>
          <w:p>
            <w:pPr>
              <w:spacing w:after="20"/>
              <w:ind w:left="20"/>
              <w:jc w:val="both"/>
            </w:pPr>
            <w:r>
              <w:rPr>
                <w:rFonts w:ascii="Times New Roman"/>
                <w:b w:val="false"/>
                <w:i w:val="false"/>
                <w:color w:val="000000"/>
                <w:sz w:val="20"/>
              </w:rPr>
              <w:t xml:space="preserve">
Выполнение при прокладке кабельных линий в производственных помещениях следующих требований: </w:t>
            </w:r>
            <w:r>
              <w:br/>
            </w:r>
            <w:r>
              <w:rPr>
                <w:rFonts w:ascii="Times New Roman"/>
                <w:b w:val="false"/>
                <w:i w:val="false"/>
                <w:color w:val="000000"/>
                <w:sz w:val="20"/>
              </w:rPr>
              <w:t>
</w:t>
            </w:r>
            <w:r>
              <w:rPr>
                <w:rFonts w:ascii="Times New Roman"/>
                <w:b w:val="false"/>
                <w:i w:val="false"/>
                <w:color w:val="000000"/>
                <w:sz w:val="20"/>
              </w:rPr>
              <w:t xml:space="preserve">1) кабели должны быть доступны для ремонта, а открыто проложенные - и для осмотра; </w:t>
            </w:r>
            <w:r>
              <w:br/>
            </w:r>
            <w:r>
              <w:rPr>
                <w:rFonts w:ascii="Times New Roman"/>
                <w:b w:val="false"/>
                <w:i w:val="false"/>
                <w:color w:val="000000"/>
                <w:sz w:val="20"/>
              </w:rPr>
              <w:t xml:space="preserve">
2) расстояние между параллельно проложенными силовыми кабелями и всякого рода трубопроводами, должно быть не менее 0,5 м, а между газопроводами и трубопроводами с горючими жидкостями - не менее 1 м. При меньших расстояниях сближения и при пересечениях кабели должны быть защищены от механических повреждений (металлическими трубами, кожухами) на всем участке сближения плюс по 0,5 м с каждой его стороны, а в необходимых случаях защищены от перегрева. </w:t>
            </w:r>
          </w:p>
          <w:bookmarkEnd w:id="98"/>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предварительного уведомления и согласования с местными исполнительными органами и государственным органом, осуществляющим руководство в сферах естественных монополий, и системным оператором при проектировании и строительстве дублирующих (шунтирующих) линий электропередачи и подстанций.</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основных сведений по всем участкам электрической сети с напряжением 35 кВ и выше содержащиеся в регистре базы данных, который ведет системный оператор.</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 базы данных, по сети 220 кВ и выше, согласованный с системным оператором, название участка при подключении к электрической сети нового участка во избежание дублирования.</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в письменной форме пользователей сети не позднее, чем за восемь месяцев до установки электроустановок и где содержится рабочая схема с указанием новой электроустановки и ее идентификации.</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табличками и нанесение надписи на электроустановку с четким указанием ее идентификационных данных энергопередающей организацией и пользователем сети.</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суточных графиков на основании которых организуется Управление балансом мощности в ЕЭС Казахстана, при этом электростанции выполняют заданный суточный график нагрузки и вращающегося резерва, а пользователи сети не превышают свой заявленный почасовой график потребления активной мощности.</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журнала регионального диспетчерского центра, где фиксируется отклонение суточного графика пользователями сети.</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99"/>
          <w:p>
            <w:pPr>
              <w:spacing w:after="20"/>
              <w:ind w:left="20"/>
              <w:jc w:val="both"/>
            </w:pPr>
            <w:r>
              <w:rPr>
                <w:rFonts w:ascii="Times New Roman"/>
                <w:b w:val="false"/>
                <w:i w:val="false"/>
                <w:color w:val="000000"/>
                <w:sz w:val="20"/>
              </w:rPr>
              <w:t>
Наличие системы противоаварийной автоматики состоящих из подсистем, выполняющих следующие функции:</w:t>
            </w:r>
            <w:r>
              <w:br/>
            </w:r>
            <w:r>
              <w:rPr>
                <w:rFonts w:ascii="Times New Roman"/>
                <w:b w:val="false"/>
                <w:i w:val="false"/>
                <w:color w:val="000000"/>
                <w:sz w:val="20"/>
              </w:rPr>
              <w:t>
</w:t>
            </w:r>
            <w:r>
              <w:rPr>
                <w:rFonts w:ascii="Times New Roman"/>
                <w:b w:val="false"/>
                <w:i w:val="false"/>
                <w:color w:val="000000"/>
                <w:sz w:val="20"/>
              </w:rPr>
              <w:t>1) автоматическое предотвращение нарушения устойчивости;</w:t>
            </w:r>
            <w:r>
              <w:br/>
            </w:r>
            <w:r>
              <w:rPr>
                <w:rFonts w:ascii="Times New Roman"/>
                <w:b w:val="false"/>
                <w:i w:val="false"/>
                <w:color w:val="000000"/>
                <w:sz w:val="20"/>
              </w:rPr>
              <w:t>
</w:t>
            </w:r>
            <w:r>
              <w:rPr>
                <w:rFonts w:ascii="Times New Roman"/>
                <w:b w:val="false"/>
                <w:i w:val="false"/>
                <w:color w:val="000000"/>
                <w:sz w:val="20"/>
              </w:rPr>
              <w:t>2) автоматическая ликвидация асинхронного режима;</w:t>
            </w:r>
            <w:r>
              <w:br/>
            </w:r>
            <w:r>
              <w:rPr>
                <w:rFonts w:ascii="Times New Roman"/>
                <w:b w:val="false"/>
                <w:i w:val="false"/>
                <w:color w:val="000000"/>
                <w:sz w:val="20"/>
              </w:rPr>
              <w:t>
</w:t>
            </w:r>
            <w:r>
              <w:rPr>
                <w:rFonts w:ascii="Times New Roman"/>
                <w:b w:val="false"/>
                <w:i w:val="false"/>
                <w:color w:val="000000"/>
                <w:sz w:val="20"/>
              </w:rPr>
              <w:t>3) автоматическое ограничение повышения напряжения;</w:t>
            </w:r>
            <w:r>
              <w:br/>
            </w:r>
            <w:r>
              <w:rPr>
                <w:rFonts w:ascii="Times New Roman"/>
                <w:b w:val="false"/>
                <w:i w:val="false"/>
                <w:color w:val="000000"/>
                <w:sz w:val="20"/>
              </w:rPr>
              <w:t>
</w:t>
            </w:r>
            <w:r>
              <w:rPr>
                <w:rFonts w:ascii="Times New Roman"/>
                <w:b w:val="false"/>
                <w:i w:val="false"/>
                <w:color w:val="000000"/>
                <w:sz w:val="20"/>
              </w:rPr>
              <w:t>4) автоматическое ограничение снижения напряжения;</w:t>
            </w:r>
            <w:r>
              <w:br/>
            </w:r>
            <w:r>
              <w:rPr>
                <w:rFonts w:ascii="Times New Roman"/>
                <w:b w:val="false"/>
                <w:i w:val="false"/>
                <w:color w:val="000000"/>
                <w:sz w:val="20"/>
              </w:rPr>
              <w:t>
</w:t>
            </w:r>
            <w:r>
              <w:rPr>
                <w:rFonts w:ascii="Times New Roman"/>
                <w:b w:val="false"/>
                <w:i w:val="false"/>
                <w:color w:val="000000"/>
                <w:sz w:val="20"/>
              </w:rPr>
              <w:t>5) автоматическое ограничение снижения частоты;</w:t>
            </w:r>
            <w:r>
              <w:br/>
            </w:r>
            <w:r>
              <w:rPr>
                <w:rFonts w:ascii="Times New Roman"/>
                <w:b w:val="false"/>
                <w:i w:val="false"/>
                <w:color w:val="000000"/>
                <w:sz w:val="20"/>
              </w:rPr>
              <w:t>
</w:t>
            </w:r>
            <w:r>
              <w:rPr>
                <w:rFonts w:ascii="Times New Roman"/>
                <w:b w:val="false"/>
                <w:i w:val="false"/>
                <w:color w:val="000000"/>
                <w:sz w:val="20"/>
              </w:rPr>
              <w:t>6) автоматическое ограничение повышения частоты;</w:t>
            </w:r>
            <w:r>
              <w:br/>
            </w:r>
            <w:r>
              <w:rPr>
                <w:rFonts w:ascii="Times New Roman"/>
                <w:b w:val="false"/>
                <w:i w:val="false"/>
                <w:color w:val="000000"/>
                <w:sz w:val="20"/>
              </w:rPr>
              <w:t>
7) автоматическая разгрузка оборудования электроустановок.</w:t>
            </w:r>
          </w:p>
          <w:bookmarkEnd w:id="99"/>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специальной автоматики отключения нагрузки на объектах пользователей сети, находящихся в дефицитных энергоузлах, допускающих по характеру технологического процесса внезапный перерыв питания на время, достаточное для мобилизации резервов или введения ограничений у других пользователей сети, при этом для обеспечения надежности работы противоаварийной автоматики к специальной автоматике отключения нагрузки в первую очередь подключаются крупные пользователи сети, при недостаточности объема к специальной автоматике отключения нагрузки подключаются другие пользователи сети.</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устройствами автоматического ввода резерва, автоматического повторного включения ответственными пользователями сети, подключенные к специальной автоматике отключения нагрузки.</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комплектов защит, действующих без замедления при коротком замыкании в любой точке защищаемого участка для линий 500-1150 кВ.</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неполнофазного режима на линиях 500-1150 кВ, а также ответственных линиях 220 кВ.</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всех ВЛ приборами для определения места повреждения, при этом на ВЛ осуществляется цифровая регистрация переходных процессов при коротком замыкании с записью доаварийного режима и регистрацией последовательности событий, в том числе срабатываний устройств релейной защиты и автоматики.</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системным оператором расчета и выбора уставок в части релейной защиты и автоматики, находящихся в его оперативном управлении, и производит согласование уставок в части релейной защиты и автоматики, находящихся в его оперативном ведении.</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положения взаимоотношения между диспетчерскими центрами (службами), договорам на оказание услуг по технической диспетчеризации, оказание услуг по передаче электрической энергии для регламентирования объемов и сроков представления системным оператором и пользователями сети информации по вопросам управления ЕЭС Казахстана, использования сетей.</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каналов связи и передачи данных телеметрии на диспетчерский центр системного оператора по двум независимым направлениям для подстанций напряжением 220 кВ, 500 кВ и 1150 кВ, энергопроизводящих организаций с установленной мощностью свыше 10 МВт, пользователей сети, потребителей электроэнергии, подключенных к сети напряжением 220 кВ и выше.</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00"/>
          <w:p>
            <w:pPr>
              <w:spacing w:after="20"/>
              <w:ind w:left="20"/>
              <w:jc w:val="both"/>
            </w:pPr>
            <w:r>
              <w:rPr>
                <w:rFonts w:ascii="Times New Roman"/>
                <w:b w:val="false"/>
                <w:i w:val="false"/>
                <w:color w:val="000000"/>
                <w:sz w:val="20"/>
              </w:rPr>
              <w:t>
Наличие прямых каналов связи и передачи данных телеметрии для оперативно-диспетчерского управления, обеспечивающие связь и обмен данными телеметрии между:</w:t>
            </w:r>
            <w:r>
              <w:br/>
            </w:r>
            <w:r>
              <w:rPr>
                <w:rFonts w:ascii="Times New Roman"/>
                <w:b w:val="false"/>
                <w:i w:val="false"/>
                <w:color w:val="000000"/>
                <w:sz w:val="20"/>
              </w:rPr>
              <w:t>
</w:t>
            </w:r>
            <w:r>
              <w:rPr>
                <w:rFonts w:ascii="Times New Roman"/>
                <w:b w:val="false"/>
                <w:i w:val="false"/>
                <w:color w:val="000000"/>
                <w:sz w:val="20"/>
              </w:rPr>
              <w:t>1) диспетчерским центром региональной электросетевой компании и подстанциями 35 кВ и выше, находящимися в оперативном управлении этих диспетчерских центров;</w:t>
            </w:r>
            <w:r>
              <w:br/>
            </w:r>
            <w:r>
              <w:rPr>
                <w:rFonts w:ascii="Times New Roman"/>
                <w:b w:val="false"/>
                <w:i w:val="false"/>
                <w:color w:val="000000"/>
                <w:sz w:val="20"/>
              </w:rPr>
              <w:t>
</w:t>
            </w:r>
            <w:r>
              <w:rPr>
                <w:rFonts w:ascii="Times New Roman"/>
                <w:b w:val="false"/>
                <w:i w:val="false"/>
                <w:color w:val="000000"/>
                <w:sz w:val="20"/>
              </w:rPr>
              <w:t>2) диспетчерским центром региональной электросетевой компании и диспетчерским центром пользователя сети или подстанции пользователя сети при отсутствии у него диспетчерского центра;</w:t>
            </w:r>
            <w:r>
              <w:br/>
            </w:r>
            <w:r>
              <w:rPr>
                <w:rFonts w:ascii="Times New Roman"/>
                <w:b w:val="false"/>
                <w:i w:val="false"/>
                <w:color w:val="000000"/>
                <w:sz w:val="20"/>
              </w:rPr>
              <w:t>
</w:t>
            </w:r>
            <w:r>
              <w:rPr>
                <w:rFonts w:ascii="Times New Roman"/>
                <w:b w:val="false"/>
                <w:i w:val="false"/>
                <w:color w:val="000000"/>
                <w:sz w:val="20"/>
              </w:rPr>
              <w:t>3) диспетчерским центром региональной электросетевой компанией и РДЦ (далее - региональный диспетчерский центр);</w:t>
            </w:r>
            <w:r>
              <w:br/>
            </w:r>
            <w:r>
              <w:rPr>
                <w:rFonts w:ascii="Times New Roman"/>
                <w:b w:val="false"/>
                <w:i w:val="false"/>
                <w:color w:val="000000"/>
                <w:sz w:val="20"/>
              </w:rPr>
              <w:t>
</w:t>
            </w:r>
            <w:r>
              <w:rPr>
                <w:rFonts w:ascii="Times New Roman"/>
                <w:b w:val="false"/>
                <w:i w:val="false"/>
                <w:color w:val="000000"/>
                <w:sz w:val="20"/>
              </w:rPr>
              <w:t>4) НДЦ СО (далее - национальный диспетчерский центр системного оператора) и РДЦ;</w:t>
            </w:r>
            <w:r>
              <w:br/>
            </w:r>
            <w:r>
              <w:rPr>
                <w:rFonts w:ascii="Times New Roman"/>
                <w:b w:val="false"/>
                <w:i w:val="false"/>
                <w:color w:val="000000"/>
                <w:sz w:val="20"/>
              </w:rPr>
              <w:t>
</w:t>
            </w:r>
            <w:r>
              <w:rPr>
                <w:rFonts w:ascii="Times New Roman"/>
                <w:b w:val="false"/>
                <w:i w:val="false"/>
                <w:color w:val="000000"/>
                <w:sz w:val="20"/>
              </w:rPr>
              <w:t>5) РДЦ и пользователями сети которые имеют смежные зоны управления;</w:t>
            </w:r>
            <w:r>
              <w:br/>
            </w:r>
            <w:r>
              <w:rPr>
                <w:rFonts w:ascii="Times New Roman"/>
                <w:b w:val="false"/>
                <w:i w:val="false"/>
                <w:color w:val="000000"/>
                <w:sz w:val="20"/>
              </w:rPr>
              <w:t>
</w:t>
            </w:r>
            <w:r>
              <w:rPr>
                <w:rFonts w:ascii="Times New Roman"/>
                <w:b w:val="false"/>
                <w:i w:val="false"/>
                <w:color w:val="000000"/>
                <w:sz w:val="20"/>
              </w:rPr>
              <w:t>6) РДЦ и диспетчерским центром пользователя сети или подстанциями пользователя сети при отсутствии диспетчерского центра;</w:t>
            </w:r>
            <w:r>
              <w:br/>
            </w:r>
            <w:r>
              <w:rPr>
                <w:rFonts w:ascii="Times New Roman"/>
                <w:b w:val="false"/>
                <w:i w:val="false"/>
                <w:color w:val="000000"/>
                <w:sz w:val="20"/>
              </w:rPr>
              <w:t>
7) НДЦ СО и диспетчерскими центрами энергосистем сопредельных государств.</w:t>
            </w:r>
          </w:p>
          <w:bookmarkEnd w:id="100"/>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эксплуатацию электроустановок потребителей при обнаружении недостатков в монтаже, отступлений от выданных технических условий, проектной документации и требований нормативно-технических документов.</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Ведения журналов учета работ технического обслуживания по видам оборудования, зданиям и сооружениям электрических сетей.</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ведомости основных параметров технического состояния электрических сетей по утвержденным формам, по результатам ремонта электрических сетей (в том числе результаты испытаний и измерений).</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технологических карт, разрабатываемые энергопередающими организациями, для подготовки и проведения работ по ремонту оборудования, зданий и сооружений электрических сетей.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станционных (подстанционных) номеров на баках трансформаторов и реакторов наружной установки, а также на дверях и внутренней поверхности трансформаторных пунктов и камер.</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маслоприемников, маслосборников, гравийных подсыпок, дренажей и маслоотводов.</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приемо-сдаточных испытаний заземляющих устройств электроустановок монтажной организацией.</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в Комитет атомного и энергетического надзора и контроля в течение 15 календарных дней со дня принятия (увольнения) информации о вновь принятых/уволенных руководителях, подлежащих квалификационной проверке в государственном органе.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7" w:id="1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Проверочном листе</w:t>
      </w:r>
      <w:r>
        <w:rPr>
          <w:rFonts w:ascii="Times New Roman"/>
          <w:b w:val="false"/>
          <w:i w:val="false"/>
          <w:color w:val="000000"/>
          <w:sz w:val="28"/>
        </w:rPr>
        <w:t xml:space="preserve"> в области электроэнергетики в отношении энергоснабжающих организаций, утвержденном указанным совместным приказом:</w:t>
      </w:r>
    </w:p>
    <w:bookmarkEnd w:id="101"/>
    <w:bookmarkStart w:name="z428" w:id="102"/>
    <w:p>
      <w:pPr>
        <w:spacing w:after="0"/>
        <w:ind w:left="0"/>
        <w:jc w:val="both"/>
      </w:pPr>
      <w:r>
        <w:rPr>
          <w:rFonts w:ascii="Times New Roman"/>
          <w:b w:val="false"/>
          <w:i w:val="false"/>
          <w:color w:val="000000"/>
          <w:sz w:val="28"/>
        </w:rPr>
        <w:t>
      строки, порядковые номера 9 и 10, исключить;</w:t>
      </w:r>
    </w:p>
    <w:bookmarkEnd w:id="102"/>
    <w:bookmarkStart w:name="z429" w:id="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Проверочном листе</w:t>
      </w:r>
      <w:r>
        <w:rPr>
          <w:rFonts w:ascii="Times New Roman"/>
          <w:b w:val="false"/>
          <w:i w:val="false"/>
          <w:color w:val="000000"/>
          <w:sz w:val="28"/>
        </w:rPr>
        <w:t xml:space="preserve"> в области электроэнергетики в отношении физических и юридических лиц, утвержденном указанным совместным приказом:</w:t>
      </w:r>
    </w:p>
    <w:bookmarkEnd w:id="103"/>
    <w:bookmarkStart w:name="z430" w:id="104"/>
    <w:p>
      <w:pPr>
        <w:spacing w:after="0"/>
        <w:ind w:left="0"/>
        <w:jc w:val="both"/>
      </w:pPr>
      <w:r>
        <w:rPr>
          <w:rFonts w:ascii="Times New Roman"/>
          <w:b w:val="false"/>
          <w:i w:val="false"/>
          <w:color w:val="000000"/>
          <w:sz w:val="28"/>
        </w:rPr>
        <w:t>
      строку, порядковый номер 17, исключить.</w:t>
      </w:r>
    </w:p>
    <w:bookmarkEnd w:id="104"/>
    <w:bookmarkStart w:name="z431" w:id="105"/>
    <w:p>
      <w:pPr>
        <w:spacing w:after="0"/>
        <w:ind w:left="0"/>
        <w:jc w:val="both"/>
      </w:pPr>
      <w:r>
        <w:rPr>
          <w:rFonts w:ascii="Times New Roman"/>
          <w:b w:val="false"/>
          <w:i w:val="false"/>
          <w:color w:val="000000"/>
          <w:sz w:val="28"/>
        </w:rPr>
        <w:t>
      2.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w:t>
      </w:r>
    </w:p>
    <w:bookmarkEnd w:id="105"/>
    <w:bookmarkStart w:name="z432" w:id="106"/>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106"/>
    <w:bookmarkStart w:name="z433" w:id="107"/>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энергетики Республики Казахстан;</w:t>
      </w:r>
    </w:p>
    <w:bookmarkEnd w:id="107"/>
    <w:bookmarkStart w:name="z434" w:id="10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108"/>
    <w:bookmarkStart w:name="z435" w:id="109"/>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энергетики Республики Казахстан.</w:t>
      </w:r>
    </w:p>
    <w:bookmarkEnd w:id="109"/>
    <w:bookmarkStart w:name="z436" w:id="110"/>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110"/>
    <w:tbl>
      <w:tblPr>
        <w:tblW w:w="0" w:type="auto"/>
        <w:tblCellSpacing w:w="0" w:type="auto"/>
        <w:tblBorders>
          <w:top w:val="none"/>
          <w:left w:val="none"/>
          <w:bottom w:val="none"/>
          <w:right w:val="none"/>
          <w:insideH w:val="none"/>
          <w:insideV w:val="none"/>
        </w:tblBorders>
      </w:tblPr>
      <w:tblGrid>
        <w:gridCol w:w="7807"/>
        <w:gridCol w:w="4193"/>
      </w:tblGrid>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r>
              <w:br/>
            </w:r>
            <w:r>
              <w:rPr>
                <w:rFonts w:ascii="Times New Roman"/>
                <w:b w:val="false"/>
                <w:i/>
                <w:color w:val="000000"/>
                <w:sz w:val="20"/>
              </w:rPr>
              <w:t>Республики Казахстан</w:t>
            </w:r>
            <w:r>
              <w:br/>
            </w:r>
            <w:r>
              <w:rPr>
                <w:rFonts w:ascii="Times New Roman"/>
                <w:b w:val="false"/>
                <w:i/>
                <w:color w:val="000000"/>
                <w:sz w:val="20"/>
              </w:rPr>
              <w:t xml:space="preserve">__________ </w:t>
            </w:r>
            <w:r>
              <w:rPr>
                <w:rFonts w:ascii="Times New Roman"/>
                <w:b w:val="false"/>
                <w:i w:val="false"/>
                <w:color w:val="000000"/>
                <w:sz w:val="20"/>
              </w:rPr>
              <w:t>
</w:t>
            </w:r>
          </w:p>
        </w:tc>
        <w:tc>
          <w:tcPr>
            <w:tcW w:w="41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w:t>
            </w:r>
            <w:r>
              <w:br/>
            </w:r>
            <w:r>
              <w:rPr>
                <w:rFonts w:ascii="Times New Roman"/>
                <w:b w:val="false"/>
                <w:i/>
                <w:color w:val="000000"/>
                <w:sz w:val="20"/>
              </w:rPr>
              <w:t xml:space="preserve">Республики Казахстан </w:t>
            </w:r>
            <w:r>
              <w:br/>
            </w:r>
            <w:r>
              <w:rPr>
                <w:rFonts w:ascii="Times New Roman"/>
                <w:b w:val="false"/>
                <w:i/>
                <w:color w:val="000000"/>
                <w:sz w:val="20"/>
              </w:rPr>
              <w:t xml:space="preserve">__________ </w:t>
            </w:r>
            <w:r>
              <w:rPr>
                <w:rFonts w:ascii="Times New Roman"/>
                <w:b w:val="false"/>
                <w:i w:val="false"/>
                <w:color w:val="000000"/>
                <w:sz w:val="20"/>
              </w:rPr>
              <w:t>
</w:t>
            </w:r>
          </w:p>
        </w:tc>
        <w:tc>
          <w:tcPr>
            <w:tcW w:w="41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bookmarkStart w:name="z439" w:id="1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Комитет по правовой статистике и </w:t>
      </w:r>
      <w:r>
        <w:br/>
      </w:r>
      <w:r>
        <w:rPr>
          <w:rFonts w:ascii="Times New Roman"/>
          <w:b w:val="false"/>
          <w:i w:val="false"/>
          <w:color w:val="000000"/>
          <w:sz w:val="28"/>
        </w:rPr>
        <w:t xml:space="preserve">специальным учетам </w:t>
      </w:r>
      <w:r>
        <w:br/>
      </w:r>
      <w:r>
        <w:rPr>
          <w:rFonts w:ascii="Times New Roman"/>
          <w:b w:val="false"/>
          <w:i w:val="false"/>
          <w:color w:val="000000"/>
          <w:sz w:val="28"/>
        </w:rPr>
        <w:t>Генеральной прокуратуры</w:t>
      </w:r>
      <w:r>
        <w:br/>
      </w:r>
      <w:r>
        <w:rPr>
          <w:rFonts w:ascii="Times New Roman"/>
          <w:b w:val="false"/>
          <w:i w:val="false"/>
          <w:color w:val="000000"/>
          <w:sz w:val="28"/>
        </w:rPr>
        <w:t>Республики Казахстан</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