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e343" w14:textId="9ebe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категории автостоянок (паркингов), увеличений размеров базовых ставок налога на земли, выделенные под автостоянки (паркинги), определении близлежащего населенного пункта, базовые ставки на земли которого будут применяться при начислении налога по Таскалинскому району</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26 июня 2020 года № 48-3. Зарегистрировано Департаментом юстиции Западно-Казахстанской области 3 июля 2020 года № 6289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Таскалинский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категории автостоянок (паркингов) и увеличить размеры базовых ставок налога на земли, выделенные под автостоянки (паркинги) в зависимости от категорий автостоянок (паркингов) по Таскалинскому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Определить село Таскала близлежащим населенным пунктом, базовые ставки на земли которого будут применяться при исчислении налога на земли других категорий, выделенные под автостоянки (паркинги).</w:t>
      </w:r>
    </w:p>
    <w:bookmarkEnd w:id="2"/>
    <w:bookmarkStart w:name="z6" w:id="3"/>
    <w:p>
      <w:pPr>
        <w:spacing w:after="0"/>
        <w:ind w:left="0"/>
        <w:jc w:val="both"/>
      </w:pPr>
      <w:r>
        <w:rPr>
          <w:rFonts w:ascii="Times New Roman"/>
          <w:b w:val="false"/>
          <w:i w:val="false"/>
          <w:color w:val="000000"/>
          <w:sz w:val="28"/>
        </w:rPr>
        <w:t>
      3. Руководителю аппарата Таскалинского районного маслихата (Шатенова Т.) обеспечить государственную регистрацию настоящего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Таскалинского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26 июня 2020 года № 48-3</w:t>
            </w:r>
          </w:p>
        </w:tc>
      </w:tr>
    </w:tbl>
    <w:bookmarkStart w:name="z11" w:id="5"/>
    <w:p>
      <w:pPr>
        <w:spacing w:after="0"/>
        <w:ind w:left="0"/>
        <w:jc w:val="left"/>
      </w:pPr>
      <w:r>
        <w:rPr>
          <w:rFonts w:ascii="Times New Roman"/>
          <w:b/>
          <w:i w:val="false"/>
          <w:color w:val="000000"/>
        </w:rPr>
        <w:t xml:space="preserve"> Категория автостоянок (паркингов), увеличения размеров базовых ставок налога на земли, выделенные под автостоянки (паркинги)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3930"/>
        <w:gridCol w:w="3388"/>
        <w:gridCol w:w="2492"/>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автостоянок (паркингов)</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автостоянок (паркингов)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базовых ставок налога</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(паркинги) открытого типа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десять раз</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(паркинги) закрытого типа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десять раз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