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9c91" w14:textId="d7b9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социально-значимых убыточных маршрутов, подлежащих субсидированию на внутреннем водном транспорте по городу Уральск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7 августа 2020 года № 1280. Зарегистрировано Департаментом юстиции Западно-Казахстанской области 7 августа 2020 года № 6337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 и на основании рекомендаций комиссии по субсидированию убыточных социально-значимых маршрутов, акимат города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перечень социально-значимых убыточных маршрутов, подлежащих субсидированию на внутреннем водном транспорте по городу Уральск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27 июня 2019 года № 1490 "Об утверждении перечня социально-значимых убыточных маршрутов, подлежащих субсидированию на внутреннем водном транспорте по городу Уральск на 2019 год" (зарегистрированное в Реестре государственной регистрации нормативных правовых актов № 5739, опубликованное 5 июля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жилищно-коммунального хозяйства, пассажирского транспорта и автомобильных дорог города Уральска" (Дуйсенгалиев Ж.)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города Мулкай 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1280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убыточных маршрутов, подлежащих субсидированию на внутреннем водном транспорте по городу Уральск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9496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перевозок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"Учужный затон"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садоводческое товарищество "Барбастау"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