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a762" w14:textId="1bda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28 августа 2019 года №28-2 "Об утверждении Правил содержания и выгула собак и кошек на территории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2020 года № 40-5. Зарегистрировано Департаментом юстиции Западно-Казахстанской области 10 декабря 2020 года № 6535. Утратило силу решением Западно-Казахстанского областного маслихата от 12 октября 2022 года № 14-7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Западно-Казахстанской области от 12.10.2022 </w:t>
      </w:r>
      <w:r>
        <w:rPr>
          <w:rFonts w:ascii="Times New Roman"/>
          <w:b w:val="false"/>
          <w:i w:val="false"/>
          <w:color w:val="ff0000"/>
          <w:sz w:val="28"/>
        </w:rPr>
        <w:t>№ 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 августа 2019 года №28-2 "Об утверждении Правил содержания и выгула собак и кошек на территории Западно-Казахстанской области" (зарегистрированное в Реестре государственной регистрации нормативных правовых актов №5778, опубликованное 5 сентября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на территории Западно-Казахстанской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 регистрации в Государственной ветеринарной организации или ветеринарной клинике животному вводится идентификационный микрочип за счет владельца животного. Процедура чипирования или клеймения (нанесение татуировки) является обязательной для всех собак и кошек. Безнадзорные животные подлежат идентификации за счет местного бюджета."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