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8fa4" w14:textId="8608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городов и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33-4. Зарегистрировано Департаментом юстиции Западно-Казахстанской области 19 марта 2020 года № 6087.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(зарегистрированное в Реестре государственной регистрации нормативных правовых актов №10886),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Западно-Казахстанского областного маслихата от 04.08.2023 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городов и населенных пунктов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(Е.Калиев)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№33-4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</w:t>
      </w:r>
      <w:r>
        <w:br/>
      </w:r>
      <w:r>
        <w:rPr>
          <w:rFonts w:ascii="Times New Roman"/>
          <w:b/>
          <w:i w:val="false"/>
          <w:color w:val="000000"/>
        </w:rPr>
        <w:t>и населенных пунктов Западно-Казахстанской области.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территории городов и населенных пунктов Западно-Казахстанской области (далее – Правила) разработаны в соответствии с Гражданским кодексом Республики Казахстан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 (зарегистрирован в Реестре государственной регистрации нормативных правовых актов за № 10886) и иными нормативными правовыми актами.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12.10.2022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благоустройства территорий городов и населенных пунктов Западно-Казахстанской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– физическое или юридическое лицо, специализирующиеся в области благоустройства;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чистоты и порядка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уборки территорий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услуг: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Вывоз снега с улиц и проездов осуществляется на установленные места, определенные местным исполнительным органом.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Места временного складирования снега после снеготаяния очищаются от мусора и благоустраиваются.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Сбор и вывоз отходов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 результате деятельности,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Западно-Казахстанского областного маслихата от 12.10.2022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здравоохранения Республики Казахстан от 26 июля 2022 года № ҚР ДСМ-67 (зарегистрирован в Министерстве юстиции Республики Казахстан 27 июля 2022 года № 28925)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Западно-Казахстанского областного маслихата от 12.10.2022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сброс и складирование золы в контейнеры для твердых бытовых отходов и на контейнерные площадки.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Жидкие бытовые отходы и крупногабаритный мусор не подлежит сбросу в мусоропровод.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Эксплуатацию мусоропровода осуществляет эксплуатирующая организация, в ведении которой находится жилой дом.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Организация, эксплуатирующие и обслуживающие контейнерные площадки и контейнеры: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Благоустройство улиц, жилых кварталов и микрорайонов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установка ограждений и любых других конструкции, портящие архитектурный облик города на землях общего пользования.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Содержание фасадов зданий и сооружений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Самовольное переоборудование фасадов зданий и конструктивных элементов не допускается.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Содержание наружного освещения и фонтанов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Физические и юридические лица, допустившие нарушение настоящих Правил, привлекаются к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