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4e22" w14:textId="d8f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 апреля 2020 года № 50/4-VI. Зарегистрировано Департаментом юстиции Восточно-Казахстанской области 9 апреля 2020 года № 6868.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6778)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от 15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6 303 355,5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4 344 017,5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6 445 301,9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175 897,4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141 946,4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2020 год объемы субвенций, передаваемых из районного бюджета в бюджеты города районного значения, поселков, сельских округов в сумме 648 798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- 356 686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- 18 476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- 125 534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- 20 106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- 23 240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- 20 659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- 5 433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- 13 778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- 10 363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- 23 357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- 31 166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В соответствии с пунктом 9 статьи 139 Трудового кодекса Республики Казахстан от 23 ноября 2015 года учесть гражданским служащим в области социального обеспечения, образования, 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2020 год в сумме 93 001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областного бюджета на социальную помощь отдельным категориям нуждающихся граждан в сумме 32 294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из областного бюджета в сумме 269 716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текущие трансферты из республиканского бюджета в сумме 626 894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районном бюджете на 2020 год целевые текущие трансферты из нижестоящего бюджета на компенсацию потерь вышестоящего бюджета в связи с изменением законодательства в сумме 42 069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6 303 355,5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4 344 017,5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4 344 017,5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4 344 017,5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045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6 445 301,9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повышение компьютерной грамотности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723851,9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723851,9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723851,9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- 175 897,4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