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4e22" w14:textId="d8f4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 апреля 2020 года № 50/4-VI. Зарегистрировано Департаментом юстиции Восточно-Казахстанской области 9 апреля 2020 года № 6868.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6778)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от 15 января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6 303 355,5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4 344 017,5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6 445 301,9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33 951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175 897,4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141 946,4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2020 год объемы субвенций, передаваемых из районного бюджета в бюджеты города районного значения, поселков, сельских округов в сумме 648 798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- 356 686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- 18 476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- 125 534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- 20 106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- 23 240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- 20 659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- 5 433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- 13 778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- 10 363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- 23 357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 - 31 166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В соответствии с пунктом 9 статьи 139 Трудового кодекса Республики Казахстан от 23 ноября 2015 года учесть гражданским служащим в области социального обеспечения, образования, 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2020 год в сумме 93 001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областного бюджета на социальную помощь отдельным категориям нуждающихся граждан в сумме 32 294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из областного бюджета в сумме 269 716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текущие трансферты из республиканского бюджета в сумме 626 894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районном бюджете на 2020 год целевые текущие трансферты из нижестоящего бюджета на компенсацию потерь вышестоящего бюджета в связи с изменением законодательства в сумме 42 069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6 303 355,5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1 904 337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4 344 017,5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4 344 017,5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4 344 017,5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045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6 445 301,9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повышение компьютерной грамотности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723851,9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723851,9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723851,9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- 175 897,4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