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3382" w14:textId="af63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48-543/VI "О бюджете Алтыншокинского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50-587/VI. Зарегистрировано Департаментом юстиции Восточно-Казахстанской области 19 марта 2020 года № 6783. Утратило силу - решением Урджарского районного маслихата Восточно-Казахстанской области от 29 декабря 2020 года № 57-757/VI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57-757/VI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VI "О внесении изменений в решение Урджарского районного маслихата  от 24 декабря 2019 года №47-525/VI  "О бюджете Урджарского района на 2020-2022 годы" (зарегистрировано в Реестре государственной регистрации нормативных правовых актов за номером 6756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48-543/VI "О бюджете Алтыншокинского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6560,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Алтыншокинского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31 087,0 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 поступления – 3 532,0 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 поступления – 0,0 тысяч тенге;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32 049,5  тысяч тенге;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дефицит (профицит) бюджета –  - 962,5 тысяч тенге;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962,5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50-587/VI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