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e436" w14:textId="07ae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48-567/VI "О бюджете Шолпанского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50-610/VI. Зарегистрировано Департаментом юстиции Восточно-Казахстанской области 19 марта 2020 года № 6782. Утратило силу - решением Урджарского районного маслихата Восточно-Казахстанской области от 29 декабря 2020 года № 57-781/VI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57-781/VI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VI "О внесении изменений в решение Урджарского районного маслихата  от 24 декабря 2019 года №47-525/VI 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48-567/VI "О бюджете Урджарского сельского округа  Шолпанского района на 2020-2022 годы" (зарегистрировано в Реестре государственной регистрации нормативных правовых актов за номером 6565,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6 февраля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сельского  округа Шолпанского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30 734,6 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1 903,0 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361,6 тысяч тенге;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30 734,6 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дефицит (профицит) бюджета – 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50-610/VI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30 734,6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30 734,6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