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9027" w14:textId="00f9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Курчумского районного маслихата от 13 марта 2018 года № 20/5-VI "Об утверждении Методики оценки деятельности административных государственных служащих корпуса "Б" государственного учреждения "Аппарат Курчумского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Курчумского районного маслихата Восточно-Казахстанской области от 24 июня 2020 года № 50/12-VI. Зарегистрировано Департаментом юстиции Восточно-Казахстанской области 9 июля 2020 года № 7319. Утратило силу решением Курчумского районного маслихата Восточно-Казахстанской области от 3 июля 2023 года № 5/12-VIII</w:t>
      </w:r>
    </w:p>
    <w:p>
      <w:pPr>
        <w:spacing w:after="0"/>
        <w:ind w:left="0"/>
        <w:jc w:val="both"/>
      </w:pPr>
      <w:r>
        <w:rPr>
          <w:rFonts w:ascii="Times New Roman"/>
          <w:b w:val="false"/>
          <w:i w:val="false"/>
          <w:color w:val="ff0000"/>
          <w:sz w:val="28"/>
        </w:rPr>
        <w:t xml:space="preserve">
      Сноска. Утратило силу решением Курчумского районного маслихата Восточно-Казахстанской области от 03.07.2023 </w:t>
      </w:r>
      <w:r>
        <w:rPr>
          <w:rFonts w:ascii="Times New Roman"/>
          <w:b w:val="false"/>
          <w:i w:val="false"/>
          <w:color w:val="ff0000"/>
          <w:sz w:val="28"/>
        </w:rPr>
        <w:t>№ 5/12-VIII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от 6 апреля 2016 года "О правовых актах" Курчумский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Курчумского районного маслихата от 13 марта 2018 года </w:t>
      </w:r>
      <w:r>
        <w:rPr>
          <w:rFonts w:ascii="Times New Roman"/>
          <w:b w:val="false"/>
          <w:i w:val="false"/>
          <w:color w:val="000000"/>
          <w:sz w:val="28"/>
        </w:rPr>
        <w:t>№ 20/5-VI</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Курчумского районного маслихата"" (зарегистрировано в Реестре государственной регистрации нормативных правовых актов № 5589, опубликовано 16 апреля 2018 года в Эталонном контрольном банке нормативных правовых актов Республики Казахстан в электронном виде) следующие изменения:</w:t>
      </w:r>
    </w:p>
    <w:bookmarkEnd w:id="1"/>
    <w:bookmarkStart w:name="z9" w:id="2"/>
    <w:p>
      <w:pPr>
        <w:spacing w:after="0"/>
        <w:ind w:left="0"/>
        <w:jc w:val="both"/>
      </w:pPr>
      <w:r>
        <w:rPr>
          <w:rFonts w:ascii="Times New Roman"/>
          <w:b w:val="false"/>
          <w:i w:val="false"/>
          <w:color w:val="000000"/>
          <w:sz w:val="28"/>
        </w:rPr>
        <w:t>
      в методике оценки деятельности административных государственных служащих корпуса "Б" государственного учреждения "Аппарат Курчумского районного маслихата":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государственного учреждения "Аппарат Курчумского районного маслихата"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на основании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 16299) (далее – типовая методика) и определяет порядок оценки деятельности административных государственных служащих корпуса "Б" (далее – служащие корпуса "Б".";</w:t>
      </w:r>
    </w:p>
    <w:bookmarkEnd w:id="3"/>
    <w:bookmarkStart w:name="z12" w:id="4"/>
    <w:p>
      <w:pPr>
        <w:spacing w:after="0"/>
        <w:ind w:left="0"/>
        <w:jc w:val="both"/>
      </w:pPr>
      <w:r>
        <w:rPr>
          <w:rFonts w:ascii="Times New Roman"/>
          <w:b w:val="false"/>
          <w:i w:val="false"/>
          <w:color w:val="000000"/>
          <w:sz w:val="28"/>
        </w:rPr>
        <w:t xml:space="preserve">
      в абзац 2 </w:t>
      </w:r>
      <w:r>
        <w:rPr>
          <w:rFonts w:ascii="Times New Roman"/>
          <w:b w:val="false"/>
          <w:i w:val="false"/>
          <w:color w:val="000000"/>
          <w:sz w:val="28"/>
        </w:rPr>
        <w:t>пункта 5</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4"/>
    <w:bookmarkStart w:name="z13"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Кудабаева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Курчумского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