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1370" w14:textId="45f1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Новополяковскому сельскому округу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июня 2020 года № 40/353-VI. Зарегистрировано Департаментом юстиции Восточно-Казахстанской области 21 июля 2020 года № 7380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Новополяковскому сельскому округу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26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40/353-VI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Новополяковскому сельском округе на 2020-2021 годы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Новополяковском сельском округе на 2020-2021 годы (далее - План)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номером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номером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Новополяковского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Новополяковском сельском округе имеется 4 населенных пунктов.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Новополяковского сельского округа 30 796,35 га, из них пашни – 7551,5 га, сенокосы – 4544,7 га, пастбищные земли – 17 911,55 га, прочие – 788,6 га.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25 216,35 га;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5580,0 га.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Новополяковского сельского округа относится к горно-степной, предгорно-степной умеренно влажной подзоне. Климат умеренно влажный и теплый. За год выпадает в среднем 400-470 мм осадков. Максимальное количество их приходится на август.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черноземы обыкновенные, черноземы южные, темно-каштановые.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Новополяковского сельского округа имеется ветеринарный пункт и скотомогильник.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2020 года в Новополяковском сельском округе насчитывается (личное подворье населения и поголовье крестьянских хозяйств) крупного рогатого скота 1662 голов, из них маточное поголовье 798 голов, овец и коз 745 головы, лошадей 383 головы, маралов 356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Новополяковскому сельскому округу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89"/>
        <w:gridCol w:w="845"/>
        <w:gridCol w:w="845"/>
        <w:gridCol w:w="845"/>
        <w:gridCol w:w="845"/>
        <w:gridCol w:w="845"/>
        <w:gridCol w:w="845"/>
        <w:gridCol w:w="622"/>
        <w:gridCol w:w="622"/>
        <w:gridCol w:w="845"/>
        <w:gridCol w:w="846"/>
        <w:gridCol w:w="846"/>
        <w:gridCol w:w="846"/>
        <w:gridCol w:w="846"/>
        <w:gridCol w:w="846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подворье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Бесюй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пастбищными угодьями по Новополяковскому сельскому округу имеются всего 13 127,6 га пастбищных угодий, в черте населенного пункта числится 3549,0 га пастбищ.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(село Новополяковка, село Бесюй, село Сенное, село Каражал) по содержанию маточного (дойного) поголовья сельскохозяйственных животных при имеющихся пастбищных угодьях населенного пункта в размере 3549,0 га, потребности нет (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517"/>
        <w:gridCol w:w="1907"/>
        <w:gridCol w:w="1646"/>
        <w:gridCol w:w="2842"/>
        <w:gridCol w:w="1512"/>
        <w:gridCol w:w="1646"/>
        <w:gridCol w:w="1513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пастбищами, (га)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Бесюй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3838,2 га, при норме нагрузки на одну голову крупно рогатого скота – 3,0 га/гол., мелко рогатого скота – 0,6 га/гол., лошадей – 3,6 га/гол. (</w:t>
      </w:r>
      <w:r>
        <w:rPr>
          <w:rFonts w:ascii="Times New Roman"/>
          <w:b w:val="false"/>
          <w:i w:val="false"/>
          <w:color w:val="000000"/>
          <w:sz w:val="28"/>
        </w:rPr>
        <w:t>таблица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363"/>
        <w:gridCol w:w="1060"/>
        <w:gridCol w:w="1060"/>
        <w:gridCol w:w="1060"/>
        <w:gridCol w:w="502"/>
        <w:gridCol w:w="920"/>
        <w:gridCol w:w="920"/>
        <w:gridCol w:w="1337"/>
        <w:gridCol w:w="1200"/>
        <w:gridCol w:w="1478"/>
        <w:gridCol w:w="1758"/>
      </w:tblGrid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подворье населения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с.Новополяковка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Бесюй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809,4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3838,2 га необходимо восполнить за счет выпаса сельскохозяйственных животных населения на отгонные пастбища, принадлежащих товариществу с ограниченной ответственностью "Таулы - Восток" – 410,5 га, коммунальному государственному учреждению "Большенарымское лесное хозяйства" - 3427,7 га.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крестьянских и фермерских хозяйствах Новополяковского сельского округа составляет: крупного рогатого скота 416 голов, овец и коз 140 голов, лошадей 101 голов, маралов 356 голов.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крестьянских и фермерских хозяйств составляет 13 127,6 га (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перераспределению пастбищ для размещения поголовья сельскохозяйственных животных сельхозпроизводителей по Новополяковскому сельскому округу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50"/>
        <w:gridCol w:w="1503"/>
        <w:gridCol w:w="732"/>
        <w:gridCol w:w="732"/>
        <w:gridCol w:w="733"/>
        <w:gridCol w:w="733"/>
        <w:gridCol w:w="347"/>
        <w:gridCol w:w="636"/>
        <w:gridCol w:w="636"/>
        <w:gridCol w:w="636"/>
        <w:gridCol w:w="925"/>
        <w:gridCol w:w="539"/>
        <w:gridCol w:w="1022"/>
        <w:gridCol w:w="1216"/>
        <w:gridCol w:w="1216"/>
      </w:tblGrid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рогатыйскот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Новополяковский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13 127,6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Новополяковском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Новополяковского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на основании правоустанавливающих документов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сельских округов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категории земель сельскохозяйственного назначения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категории земель населенных пунктов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категории земель лесного фонда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Новополяковского сельского округа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989"/>
        <w:gridCol w:w="3330"/>
        <w:gridCol w:w="637"/>
        <w:gridCol w:w="1128"/>
        <w:gridCol w:w="3333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га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пастбищ, га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"Таулы - Восток"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"Большенарымское лесное хозяйства" -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3427,7 га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3427,7 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Новополяковском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Схема пастбищеоборотов, приемлемая для Новополяковского сельского округа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перегона скота в год.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Новополяковском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сельских округов 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сезонных пастбищ во внутренних и внешних границах 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Пастбища категории земель населенных пунктов 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Пастбища категории земель лесного фонда 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Водопой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Новополяковском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</w:t>
      </w:r>
    </w:p>
    <w:bookmarkEnd w:id="53"/>
    <w:bookmarkStart w:name="z72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пастбища предоставленные сельхозпроизводителям и физическим лицам для выпаса скота;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доступ пастбищепользователей к водоисточникам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Новополяковском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58"/>
    <w:bookmarkStart w:name="z78" w:id="59"/>
    <w:p>
      <w:pPr>
        <w:spacing w:after="0"/>
        <w:ind w:left="0"/>
        <w:jc w:val="left"/>
      </w:pP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Новополяковском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5139"/>
        <w:gridCol w:w="5139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с отгонных пастбищ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Новополяковский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