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0d9" w14:textId="d1e1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2019 года №48-1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июня 2020 года № 56-3. Зарегистрировано Департаментом юстиции Восточно-Казахстанской области 3 июля 2020 года № 7266.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номером 7207)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8754821,2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1471023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28475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- 7222895,6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8789411,9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323712тысяч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340409тысяч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- 358302,7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358302,7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340409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2020 год предусмотрены трансферты из областного бюджета в сумме 1020488,6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2372946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8754822,6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7229160,2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7222895,6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7222895,6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5"/>
        <w:gridCol w:w="1275"/>
        <w:gridCol w:w="1275"/>
        <w:gridCol w:w="5088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8789413,3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682234,2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444351,2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422856,9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70551,9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градостроительнаяистроительнаядеятельность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градостроительнаяистроительнаядеятельность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Услугипореализации государственной политики в области 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Разработкасхемградостроительногоразвитиятерриториирайона, генеральныхплановгородоврайонного (областного) значения, поселковииныхсельскихнаселенныхпунктов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Капитальныйисреднийремонтавтомобильныхдорограйонногозначенияиулицнаселенныхпунктов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498151,9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79159,6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Капитальныйисреднийремонтавтомобильныхдорограйонногозначенияиулицнаселенныхпунктов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-358302,7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358302,7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за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48-1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759"/>
        <w:gridCol w:w="4616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за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48-1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5076"/>
        <w:gridCol w:w="5316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284967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84935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за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48-1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к бюджетам города районного значения, сельских округов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139399,1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Кенсайского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