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58e2" w14:textId="a555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25 декабря 2019 года № 45-5-VI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 июля 2020 года № 51-5-VI. Зарегистрировано Департаментом юстиции Восточно-Казахстанской области 9 июля 2020 года № 7291. Утратило силу - решением маслихата Бородулихинского района Восточно-Казахстанской области от 25 декабря 2020 года № 56-5-VI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Бородулихинского района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56-5-VI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июня 2020 года № 39/430-VI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(зарегистрированным в Реестре государственной регистрации нормативных правовых актов за номером 7207),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6500, опубликовано в Эталонном контрольном банке нормативных правовых актов Республики Казахстан в электронном виде 16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7030938,3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1063299,9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10830,5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32906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–5923901,9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7421142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107225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139178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31953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-497428,7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497428,7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418610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31953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110771,7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2020 год целевые текущие трансферты из республиканского бюджета в сумме 1374554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2020 год целевые текущие трансферты и кредиты из областного бюджета в сумме 571651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районном бюджете на 2020 год целевые трансферты на развитие из областного бюджета в сумме 80621,8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Ежова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51-5-VI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7030938,3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1063299,9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350565,9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350565,9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5923901,9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5902321,8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7421142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3991543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3848638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644587,5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424774,8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285970,9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347877,8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1008485,4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1008485,4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1008485,4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-497428,7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497428,7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