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8ec" w14:textId="863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55/545-VI. Зарегистрировано Департаментом юстиции Восточно-Казахстанской области 5 января 2021 года № 8315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1доходы – 51198,0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55/545-VI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43/316-VІ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6586,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46/359-VI "О внесении изменений в решение Аягозского районного маслихата от 10 января 2020 года № 43/316-VІ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6972,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48/393-VI "О внесении изменений в решение Аягозского районного маслихата от 10 января 2020 года № 43/316-VІ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7184, опубликовано в Эталонном контрольном банке нормативных правовых актов Республики Казахстан в электронном виде 16 июня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52/461-VI "О внесении изменений в решение Аягозского районного маслихата от 10 января 2020 года № 43/316-VІ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7576, опубликовано в Эталонном контрольном банке нормативных правовых актов Республики Казахстан в электронном виде 28 сентября 2020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 53/491-VI "О внесении изменений в решение Аягозского районного маслихата от 10 января 2020 года № 43/316-VІ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7834, опубликовано в Эталонном контрольном банке нормативных правовых актов Республики Казахстан в электронном виде 19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