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fc1e" w14:textId="2f1f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04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54/504-VI. Зарегистрировано Департаментом юстиции Восточно-Казахстанской области 15 декабря 2020 года № 7981.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7531, опубликовано в Эталонном контрольном банке нормативно-правовых актов Республики Казахстан в электронном виде 15 сентября 2020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причинение ущерба гражданину (семье) либо его имуществу вследствие стихийного бедствия или пожара либо наличие социально значимого заболевания;";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поселкового, сельского округа заявление с перечнем документов, указанных в пункте 13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№504 (далее – Типовые правила).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для сверки, после чего подлинники документов возвращаются заявителю.";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не меняется.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