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c970" w14:textId="372c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апреля 2020 года № 41/3-VI. Зарегистрировано Департаментом юстиции Восточно-Казахстанской области 25 мая 2020 года № 7111. Утратило силу - решением Риддерского городского маслихата Восточно-Казахстанской области от 4 марта 2021 года № 3/6-VII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04.03.2021 № 3/6-VII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3341, опубликовано 06 июня 2014 года в газете "Лениногорская правда" № 23)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Международный день Памяти жертв радиационных аварий и катастроф - 26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33,400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1988-1989 годах – 33,400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23,857 месячных расчетных показателей;";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215,983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37,722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еҰ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– 37,722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37,722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35,998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других государствах, в которых велись боевые действия – 33,400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семьям военнослужащих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– 4,294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показателя;";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– инвалида в возрасте до 16 лет – 4,771 месячных расчҰтных показателей;";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День памяти жертв политических репрессий и голода – 31 мая - лицам, пострадавшим от политических репрессий – 4,294 месячных расчетных показателей.".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Афанасьев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