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0311" w14:textId="2fc0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Риддерского городского маслихата от 16 февраля 2015 года № 31/2-V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Риддерского городского маслихата Восточно-Казахстанской области от 20 марта 2020 года № 39/24-VI. Зарегистрировано Департаментом юстиции Восточно-Казахстанской области 14 апреля 2020 года № 6898. Утратило силу решением Риддерского городского маслихата Восточно-Казахстанской области от 28 мая 2024 года № 14/8-VIII</w:t>
      </w:r>
    </w:p>
    <w:p>
      <w:pPr>
        <w:spacing w:after="0"/>
        <w:ind w:left="0"/>
        <w:jc w:val="both"/>
      </w:pPr>
      <w:r>
        <w:rPr>
          <w:rFonts w:ascii="Times New Roman"/>
          <w:b w:val="false"/>
          <w:i w:val="false"/>
          <w:color w:val="ff0000"/>
          <w:sz w:val="28"/>
        </w:rPr>
        <w:t xml:space="preserve">
      Сноска. Утратило силу решением Риддерского городского маслихата Восточно-Казахстанской области от 28.05.2024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Риддерский городской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Риддерского городского маслихата от 16 февраля 2015 года № 31/2-V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 3716, опубликовано 20 марта 2015 года в газете "Лениногорская правда" № 12)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размера и порядка оказания жилищной помощи,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Жилищная помощь оказывается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Сумма расходов учитывается средняя за квартал, предшествующий кварталу обращения за назначением жилищной помощи по предъявленным поставщиками счетам на оплату коммунальных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"3. Жилищная помощь оказывается по предъявленным поставщиками счетам на оплату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потребления коммунальных услуг и услуг связи в части увеличения абонентской платы за телефон, подключенный к сети телекоммуникаций, расходов за пользование жилищем из государственного жилищного фонда и жилищем, арендованным местным исполнительным органом в частном жилищном фонде лицам, постоянно проживающим в данной местности. </w:t>
      </w:r>
    </w:p>
    <w:p>
      <w:pPr>
        <w:spacing w:after="0"/>
        <w:ind w:left="0"/>
        <w:jc w:val="both"/>
      </w:pPr>
      <w:r>
        <w:rPr>
          <w:rFonts w:ascii="Times New Roman"/>
          <w:b w:val="false"/>
          <w:i w:val="false"/>
          <w:color w:val="000000"/>
          <w:sz w:val="28"/>
        </w:rPr>
        <w:t xml:space="preserve">
      Поставщики коммунальных услуг представляют в государственное учреждение "Отдел занятости, социальных программ и регистрации актов гражданского состояния города Риддера" тарифы на коммунальные услуги, их изменения, согласованные с уполномоченным органом по регулированию естественных монополий и защите конкуренции. </w:t>
      </w:r>
    </w:p>
    <w:p>
      <w:pPr>
        <w:spacing w:after="0"/>
        <w:ind w:left="0"/>
        <w:jc w:val="both"/>
      </w:pPr>
      <w:r>
        <w:rPr>
          <w:rFonts w:ascii="Times New Roman"/>
          <w:b w:val="false"/>
          <w:i w:val="false"/>
          <w:color w:val="000000"/>
          <w:sz w:val="28"/>
        </w:rPr>
        <w:t>
      При расчете жилищной помощи учитываются потери тепла, предъявляемые услугодателями, в пределах социальных норм площади жилья. Для расчета стоимости угля используются средние цены по городу, представляемые республиканским государственным учреждением "Департамент статистики Восточно-Казахстанской области Комитета по статистике Министерства национальной экономики Республики Казахстан" по состоянию на последний месяц квартала, предшествующего кварталу расчета жилищной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"12. Расходы на содержание управления объектом кондоминиума и содержание общего имущества объекта кондоминиума, в том числе на капитальный ремонт общего имущества объекта кондоминиума,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 </w:t>
      </w:r>
    </w:p>
    <w:p>
      <w:pPr>
        <w:spacing w:after="0"/>
        <w:ind w:left="0"/>
        <w:jc w:val="both"/>
      </w:pPr>
      <w:r>
        <w:rPr>
          <w:rFonts w:ascii="Times New Roman"/>
          <w:b w:val="false"/>
          <w:i w:val="false"/>
          <w:color w:val="000000"/>
          <w:sz w:val="28"/>
        </w:rPr>
        <w:t>
      Расходы на приобретение угля учитываются по счетам, предоставляемым за предшествующий год к кварталу обращения.";</w:t>
      </w:r>
    </w:p>
    <w:bookmarkStart w:name="z11" w:id="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23</w:t>
      </w:r>
      <w:r>
        <w:rPr>
          <w:rFonts w:ascii="Times New Roman"/>
          <w:b w:val="false"/>
          <w:i w:val="false"/>
          <w:color w:val="000000"/>
          <w:sz w:val="28"/>
        </w:rPr>
        <w:t xml:space="preserve"> исключить.</w:t>
      </w:r>
    </w:p>
    <w:bookmarkEnd w:id="3"/>
    <w:bookmarkStart w:name="z12"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Хисамов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