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9c59" w14:textId="f4a9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6 января 2020 года № 37/293-VI "О бюджете города Курчатов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 июля 2020 года № 43/331-VI. Зарегистрировано Департаментом юстиции Восточно-Казахстанской области 8 июля 2020 года № 7280. Утратило силу решением Курчатовского городского маслихата Восточно-Казахстанской области от 25 декабря 2020 года № 48/361-VI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48/361-VI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7207)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6 января 2020 года № 37/293-VI "О бюджете города Курчатов на 2020-2022 годы" (зарегистрировано в Реестре государственной регистрации нормативных правовых актов за номером 6501, опубликовано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3 303 755,0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1 291 338,0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19 102,0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3 170,0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1 990 145,0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3 547 892,7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-244 137,7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244 137,7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52 314,0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41 649,0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–233 472,7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текущие трансферты из областного бюджета в сумме 415 694,0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2020 год целевые текущие трансферты из республиканского бюджета в сумме 271 794,0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43/331-VI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37/293- VI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