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e4983" w14:textId="8ae49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коэффициентов зонирования, учитывающих месторасположение объектов налогообложения в городе Усть-Каменогорске и территории, переданной в его административное подчинение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Усть-Каменогорска Восточно-Казахстанской области от 23 ноября 2020 года № 4236. Зарегистрировано Департаментом юстиции Восточно-Казахстанской области 27 ноября 2020 года № 7878. Утратило силу постановлением акимата города Усть-Каменогорска Восточно-Казахстанской области от 25 декабря 2025 года № 4081</w:t>
      </w:r>
    </w:p>
    <w:p>
      <w:pPr>
        <w:spacing w:after="0"/>
        <w:ind w:left="0"/>
        <w:jc w:val="both"/>
      </w:pPr>
      <w:bookmarkStart w:name="z5" w:id="0"/>
      <w:r>
        <w:rPr>
          <w:rFonts w:ascii="Times New Roman"/>
          <w:b w:val="false"/>
          <w:i w:val="false"/>
          <w:color w:val="ff0000"/>
          <w:sz w:val="28"/>
        </w:rPr>
        <w:t xml:space="preserve">
      Сноска. Утратило силу постановлением акимата города Усть - Каменогорска Восточно-Казахстанской области от 25.12.2025 </w:t>
      </w:r>
      <w:r>
        <w:rPr>
          <w:rFonts w:ascii="Times New Roman"/>
          <w:b w:val="false"/>
          <w:i w:val="false"/>
          <w:color w:val="ff0000"/>
          <w:sz w:val="28"/>
        </w:rPr>
        <w:t>№ 4081</w:t>
      </w:r>
      <w:r>
        <w:rPr>
          <w:rFonts w:ascii="Times New Roman"/>
          <w:b w:val="false"/>
          <w:i w:val="false"/>
          <w:color w:val="ff0000"/>
          <w:sz w:val="28"/>
        </w:rPr>
        <w:t xml:space="preserve"> (вводится в действие с 01.01.2026 года и подлежит официальному опубликованию).</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тексте документа сохранена пунктуация и орфография оригинала.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529 Кодекса Республики Казахстан от 25 декабря 2017 года "О налогах и других обязательных платежах в бюджет (Налоговый кодекс)",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информации и коммуникаций Республики Казахстан от 12 ноября 2018 года № 475 "Об утверждении Методики расчета коэффициента зонирования" (зарегистрирован в Реестре государственной регистрации нормативных правовых актов № 17847), акимат города Усть-Каменогорска ПОСТАНОВЛЯЕТ: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коэффициенты зонирования, учитывающие месторасположение объектов налогообложения в городе Усть-Каменогорске и территории, переданной в его административное подчинение,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9" w:id="1"/>
    <w:p>
      <w:pPr>
        <w:spacing w:after="0"/>
        <w:ind w:left="0"/>
        <w:jc w:val="both"/>
      </w:pPr>
      <w:r>
        <w:rPr>
          <w:rFonts w:ascii="Times New Roman"/>
          <w:b w:val="false"/>
          <w:i w:val="false"/>
          <w:color w:val="000000"/>
          <w:sz w:val="28"/>
        </w:rPr>
        <w:t>
      2. Государственному учреждению "Отдел экономики и бюджетного планирования города Усть-Каменогорска" в установленном законодательством Республики Казахстан порядке обеспечить:</w:t>
      </w:r>
    </w:p>
    <w:bookmarkEnd w:id="1"/>
    <w:bookmarkStart w:name="z10" w:id="2"/>
    <w:p>
      <w:pPr>
        <w:spacing w:after="0"/>
        <w:ind w:left="0"/>
        <w:jc w:val="both"/>
      </w:pPr>
      <w:r>
        <w:rPr>
          <w:rFonts w:ascii="Times New Roman"/>
          <w:b w:val="false"/>
          <w:i w:val="false"/>
          <w:color w:val="000000"/>
          <w:sz w:val="28"/>
        </w:rPr>
        <w:t>
      1) государственную регистрацию настоящего постановления в территориальном органе юстиции;</w:t>
      </w:r>
    </w:p>
    <w:bookmarkEnd w:id="2"/>
    <w:bookmarkStart w:name="z11" w:id="3"/>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распространяемые на территории города Усть-Каменогорска;</w:t>
      </w:r>
    </w:p>
    <w:bookmarkEnd w:id="3"/>
    <w:bookmarkStart w:name="z12" w:id="4"/>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города Усть-Каменогорска после его официального опубликования.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Усть-Каменогорска от 28 ноября 2019 года № 4769 "Об утверждении коэффициентов зонирования, учитывающих месторасположение объектов налогообложения в городе Усть-Каменогорске и территории, переданной в его административное подчинение" (зарегистрировано в Реестре государственной регистрации нормативных правовых актов 19 декабря 2019 года № 6410, опубликовано 25 декабря 2019 года в газете "Мой город", 24 декабря 2019 года в Эталонном контрольном банке нормативных правовых актов Республики Казахстан в электронном виде).</w:t>
      </w:r>
    </w:p>
    <w:bookmarkStart w:name="z14" w:id="5"/>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города Усть-Каменогорска Искакова А.М.</w:t>
      </w:r>
    </w:p>
    <w:bookmarkEnd w:id="5"/>
    <w:bookmarkStart w:name="z15" w:id="6"/>
    <w:p>
      <w:pPr>
        <w:spacing w:after="0"/>
        <w:ind w:left="0"/>
        <w:jc w:val="both"/>
      </w:pPr>
      <w:r>
        <w:rPr>
          <w:rFonts w:ascii="Times New Roman"/>
          <w:b w:val="false"/>
          <w:i w:val="false"/>
          <w:color w:val="000000"/>
          <w:sz w:val="28"/>
        </w:rPr>
        <w:t>
      5. Настоящее постановление вводится в действие с 1 января 2021 года.</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Усть-Каменогорска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Омар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"СОГЛАСОВАНО":</w:t>
            </w:r>
            <w:r>
              <w:rPr>
                <w:rFonts w:ascii="Times New Roman"/>
                <w:b w:val="false"/>
                <w:i/>
                <w:color w:val="000000"/>
                <w:sz w:val="20"/>
              </w:rPr>
              <w:t xml:space="preserve"> </w:t>
            </w:r>
          </w:p>
          <w:p>
            <w:pPr>
              <w:spacing w:after="20"/>
              <w:ind w:left="20"/>
              <w:jc w:val="both"/>
            </w:pPr>
          </w:p>
          <w:p>
            <w:pPr>
              <w:spacing w:after="20"/>
              <w:ind w:left="20"/>
              <w:jc w:val="both"/>
            </w:pPr>
            <w:r>
              <w:rPr>
                <w:rFonts w:ascii="Times New Roman"/>
                <w:b w:val="false"/>
                <w:i/>
                <w:color w:val="000000"/>
                <w:sz w:val="20"/>
              </w:rPr>
              <w:t xml:space="preserve">Исполняющий обязанности </w:t>
            </w:r>
          </w:p>
          <w:p>
            <w:pPr>
              <w:spacing w:after="20"/>
              <w:ind w:left="20"/>
              <w:jc w:val="both"/>
            </w:pPr>
            <w:r>
              <w:rPr>
                <w:rFonts w:ascii="Times New Roman"/>
                <w:b w:val="false"/>
                <w:i/>
                <w:color w:val="000000"/>
                <w:sz w:val="20"/>
              </w:rPr>
              <w:t xml:space="preserve">руководителя республиканского </w:t>
            </w:r>
          </w:p>
          <w:p>
            <w:pPr>
              <w:spacing w:after="20"/>
              <w:ind w:left="20"/>
              <w:jc w:val="both"/>
            </w:pPr>
            <w:r>
              <w:rPr>
                <w:rFonts w:ascii="Times New Roman"/>
                <w:b w:val="false"/>
                <w:i/>
                <w:color w:val="000000"/>
                <w:sz w:val="20"/>
              </w:rPr>
              <w:t xml:space="preserve">государственного учреждения </w:t>
            </w:r>
          </w:p>
          <w:p>
            <w:pPr>
              <w:spacing w:after="20"/>
              <w:ind w:left="20"/>
              <w:jc w:val="both"/>
            </w:pPr>
            <w:r>
              <w:rPr>
                <w:rFonts w:ascii="Times New Roman"/>
                <w:b w:val="false"/>
                <w:i/>
                <w:color w:val="000000"/>
                <w:sz w:val="20"/>
              </w:rPr>
              <w:t xml:space="preserve">"Управление государственных </w:t>
            </w:r>
          </w:p>
          <w:p>
            <w:pPr>
              <w:spacing w:after="20"/>
              <w:ind w:left="20"/>
              <w:jc w:val="both"/>
            </w:pPr>
            <w:r>
              <w:rPr>
                <w:rFonts w:ascii="Times New Roman"/>
                <w:b w:val="false"/>
                <w:i/>
                <w:color w:val="000000"/>
                <w:sz w:val="20"/>
              </w:rPr>
              <w:t xml:space="preserve">доходов по городу Усть-Каменогорск </w:t>
            </w:r>
          </w:p>
          <w:p>
            <w:pPr>
              <w:spacing w:after="20"/>
              <w:ind w:left="20"/>
              <w:jc w:val="both"/>
            </w:pPr>
            <w:r>
              <w:rPr>
                <w:rFonts w:ascii="Times New Roman"/>
                <w:b w:val="false"/>
                <w:i/>
                <w:color w:val="000000"/>
                <w:sz w:val="20"/>
              </w:rPr>
              <w:t xml:space="preserve">Департамента государственных доходов </w:t>
            </w:r>
          </w:p>
          <w:p>
            <w:pPr>
              <w:spacing w:after="20"/>
              <w:ind w:left="20"/>
              <w:jc w:val="both"/>
            </w:pPr>
            <w:r>
              <w:rPr>
                <w:rFonts w:ascii="Times New Roman"/>
                <w:b w:val="false"/>
                <w:i/>
                <w:color w:val="000000"/>
                <w:sz w:val="20"/>
              </w:rPr>
              <w:t xml:space="preserve">по Восточно-Казахстанской области </w:t>
            </w:r>
          </w:p>
          <w:p>
            <w:pPr>
              <w:spacing w:after="20"/>
              <w:ind w:left="20"/>
              <w:jc w:val="both"/>
            </w:pPr>
            <w:r>
              <w:rPr>
                <w:rFonts w:ascii="Times New Roman"/>
                <w:b w:val="false"/>
                <w:i/>
                <w:color w:val="000000"/>
                <w:sz w:val="20"/>
              </w:rPr>
              <w:t xml:space="preserve">Комитета государственных доходов </w:t>
            </w:r>
          </w:p>
          <w:p>
            <w:pPr>
              <w:spacing w:after="20"/>
              <w:ind w:left="20"/>
              <w:jc w:val="both"/>
            </w:pPr>
            <w:r>
              <w:rPr>
                <w:rFonts w:ascii="Times New Roman"/>
                <w:b w:val="false"/>
                <w:i/>
                <w:color w:val="000000"/>
                <w:sz w:val="20"/>
              </w:rPr>
              <w:t xml:space="preserve">Министерства финансов </w:t>
            </w:r>
          </w:p>
          <w:p>
            <w:pPr>
              <w:spacing w:after="20"/>
              <w:ind w:left="20"/>
              <w:jc w:val="both"/>
            </w:pPr>
            <w:r>
              <w:rPr>
                <w:rFonts w:ascii="Times New Roman"/>
                <w:b w:val="false"/>
                <w:i/>
                <w:color w:val="000000"/>
                <w:sz w:val="20"/>
              </w:rPr>
              <w:t xml:space="preserve">Республики Казахстан" </w:t>
            </w:r>
          </w:p>
          <w:p>
            <w:pPr>
              <w:spacing w:after="20"/>
              <w:ind w:left="20"/>
              <w:jc w:val="both"/>
            </w:pPr>
            <w:r>
              <w:rPr>
                <w:rFonts w:ascii="Times New Roman"/>
                <w:b/>
                <w:i/>
                <w:color w:val="000000"/>
                <w:sz w:val="20"/>
              </w:rPr>
              <w:t>"____"__________2020 года</w:t>
            </w:r>
            <w:r>
              <w:rPr>
                <w:rFonts w:ascii="Times New Roman"/>
                <w:b w:val="false"/>
                <w:i/>
                <w:color w:val="000000"/>
                <w:sz w:val="20"/>
              </w:rPr>
              <w:t xml:space="preserve"> </w:t>
            </w:r>
          </w:p>
          <w:p>
            <w:pPr>
              <w:spacing w:after="0"/>
              <w:ind w:left="0"/>
              <w:jc w:val="left"/>
            </w:pPr>
          </w:p>
          <w:p>
            <w:pPr>
              <w:spacing w:after="20"/>
              <w:ind w:left="20"/>
              <w:jc w:val="both"/>
            </w:pPr>
            <w:r>
              <w:rPr>
                <w:rFonts w:ascii="Times New Roman"/>
                <w:b w:val="false"/>
                <w:i/>
                <w:color w:val="000000"/>
                <w:sz w:val="20"/>
              </w:rPr>
              <w:t xml:space="preserve">_____________________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Бабышев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 города Усть-Каменогорска </w:t>
            </w:r>
            <w:r>
              <w:br/>
            </w:r>
            <w:r>
              <w:rPr>
                <w:rFonts w:ascii="Times New Roman"/>
                <w:b w:val="false"/>
                <w:i w:val="false"/>
                <w:color w:val="000000"/>
                <w:sz w:val="20"/>
              </w:rPr>
              <w:t>от 23 ноября 2020 года № 4236</w:t>
            </w:r>
          </w:p>
        </w:tc>
      </w:tr>
    </w:tbl>
    <w:bookmarkStart w:name="z19" w:id="7"/>
    <w:p>
      <w:pPr>
        <w:spacing w:after="0"/>
        <w:ind w:left="0"/>
        <w:jc w:val="left"/>
      </w:pPr>
      <w:r>
        <w:rPr>
          <w:rFonts w:ascii="Times New Roman"/>
          <w:b/>
          <w:i w:val="false"/>
          <w:color w:val="000000"/>
        </w:rPr>
        <w:t xml:space="preserve"> Коэффициенты зонирования, учитывающие месторасположение объектов налогообложения в городе Усть-Каменогорске и территории, переданной в его административное подчинение</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зонирования для расчета налогооблагаемой стоимости квартир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зонирования для расчета налогооблагаемой стоимости индивидуальных жилых домов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зонирования для расчета налогооблагаемой стоимости дач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зонирования для расчета налогооблагаемой стоимости гаражей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N 1 оценочной зоны N 1: территория дачного массива, находящегося южнее аэропорта, за исключением дач, находящихся юго-восточнее массива Прохладный.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N 2 оценочной зоны N 1: территория массива Старая Согра от берега реки Ульба до улицы Охотской. С улицы Охотской граница участка проходит на север по переулку Вешнему до пересечения с улицей Дружинников, затем до пересечения с улицей Целиноградской до улицы Согринской. Далее по улице Согринской до жилого массива Новый подхоз и Старый подхоз, включая их территории. В состав данного участка также вошли земли жилого массива Новая гавань и дачного массива, находящегося рядом с ним, а также район жилого массива Мельзавод 10-й.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N 1 оценочной зоны N 2: территория полуострова Комендантский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N 2 оценочной зоны N 2: территория города, граничащая с северной стороны с промышленным узлом в следующих границах: от улицы Бажова по границе территории промышленного предприятия до проспекта Нурсултана Назарбаева, затем по проспекту до пересечения с улицей Белинского, с улицей Михаэлиса, далее до улицы Алматинской. Затем в северо-восточную сторону до проспекта Шәкәріма, по проспекту Шәкәріма до пересечения с улицей Красина, до переулка Саратовского, улицы Роза Люксембург и до улицы Тихой, исключая многоэтажную застройку. Далее граница проходит по левому берегу реки Ульба до проспекта Абая, затем на юг до пересечения с улицей Тракторной и вдоль нее до промышленного узла.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N 3 оценочной зоны N 2: территория массива Прохладный, а также район частного сектора. Границы оценочной зоны проходят вдоль переулка 2-й Паровозный, до улицы Деповской, затем до пересечения с переулком 1-й Паровозный, до улицы Элеваторной, вдоль нее до улицы Грейдерной и до улицы Вытяжной тупик, затем по улице Нефтяной до переулка Западный и до проспекта Нурсултана Назарбаева. Далее по проспекту Нурсултана Назарбаева до улицы Мостовой, по улице Сафонова до улицы Гурьевской, по переулку Целинный до улицы Пограничной и по реке Иртыш. Далее границы оценочной зоны проходят вдоль правого берега реки Иртыш до дачного массива, находящегося южнее аэропорта, и до района Прохладный.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N 4 оценочной зоны N 2: территория жилого района Защита и промышленного узла с юго-восточной стороны.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N 1 оценочной зоны N 3: территория жилого района Новая Согра в границах улиц Охотская (Согринская) до переулка Вешнего и до улицы Егорова, до улицы Менделеева, включая многоэтажную застройку.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N 2 оценочной зоны N 3: территория дачного массива, находящегося северо-западнее поселка Мирный.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N 3 оценочной зоны N 3: территория дачного массива, находящегося юго-западнее поселка Мирный.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N 4 оценочной зоны N 3: территория дачного массива, находящегося на правом берегу реки Иртыш южнее жилого массива Аблакетка и территория товарищества с ограниченной ответственностью "Усть-Каменогорский конденсаторный завод".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N 5 оценочной зоны N 3: территория жилых массивов в районах аэропорта и Кирзавода.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N 1 оценочной зоны N 4: территория жилого массива Мирный и территория акционерного общества "Востокмашзавод". Границы участка проходят вдоль проспекта Нурсултана Назарбаева до пересечения с бульваром Гагарина, вдоль парка Металлургов, исключая его территорию, до улицы Виноградова, затем вдоль нее до пересечения с улицей Белинского, далее по улице Михаэлиса до улицы Алматинской, до улицы 30-й Гвардейской Дивизии, улицы Карбышева, затем вдоль правого берега реки Иртыш до улицы Актюбинской, вдоль дачного массива до улицы Дружбы, до улицы Целинной вдоль частного сектора до улицы Сафонова и по переулку Лопатинский до проспекта Нурсултана Назарбаева.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N 2 оценочной зоны N 4: территория поселка имени Красина, гаражные кооперативы и другие объекты.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N 3 оценочной зоны N 4: территория индивидуальной жилой застройки северо-восточной части жилого массива Аблакетка в пределах улицы Северной, а также дачные массивы в районе Лесхоза.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N 1 оценочной зоны N 5: территория левого берега реки Иртыш в границах улицы Иртышской до пересечения с проспектом имени Каныша Сатпаева до 14 жилого района (район КШТ), вдоль границы поселка Металлург до улицы Прииртышской, далее по левому берегу реки Иртыш.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N 2 оценочной зоны N 5: территория промышленных предприятий и дачного массива в северо-восточной части города в границах улицы Согринской, улицы Егорова, вдоль нее до улицы Менделеева и до переулка Вешнего.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N 3 оценочной зоны N 5: территория жилого массива Шмелев лог в границах улицы Мызы до побережья реки Ульба.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N 4 оценочной зоны N 5: территория промышленных объектов, находящихся с южной стороны от железной дороги в границах улицы Деповской до 1-го Паровозного переулка, до улицы Нефтяной, включая железнодорожную ветку со всеми объектами.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N 5 оценочной зоны N 5: территория жилого массива Лесозавод от правого берега реки Иртыш до дачного массива, находящегося восточнее массива Лесозавод.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N 1 оценочной зоны N 6: территория производственных объектов в районе акционерного общества "Усть-Каменогорский арматурный завод", территории отстойников, поселок Загородный и дачный массив, находящийся северо-западнее массива Старая Согра.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N 2 оценочной зоны N 6: территория жилого массива 14 жилого района (район КШТ), 23-го жилого района, дачные массивы.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N 3 оценочной зоны N 6: территория жилого массива Аблакетка в границах улицы Северной, дачного массива до правого берега реки Иртыш.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N 1 оценочной зоны N 7: территория поселка Металлург и поселка Ульбинский, до левого берега реки Иртыш. В данный участок не входит дачный массив.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N 2 оценочной зоны N 7: территория Северного промышленного узла.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N 1 оценочной зоны N 8: территория центральной части города микрорайона Стрелка в границах набережной имени Е.П. Славского до улицы имени Александра Протозанова, до улицы Мызы. Далее по улице Новаторов, по улице имени Кабанбая батыра, вдоль правого берега реки Иртыш до набережной имени Е.П. Славского.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N 2 оценочной зоны N 8: Центральная часть города в районе дворца Спорта, территорию от проспекта Абая до улицы Космической, от проспекта Шәкәрім до улицы Красина, до левого берега реки Ульба. Далее граница участка проходит вдоль берега до улицы Астаны, включая в себя территорию Студенческого городка.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Меновное.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Ново-Троицкое.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Ново-Явленка.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Ново-Ахмирово.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Ахмирово.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Самсоновка.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Прудхоз.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