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e446" w14:textId="692e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октября 2020 года № 379. Зарегистрировано Департаментом юстиции Восточно-Казахстанской области 28 октября 2020 года № 7731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</w:t>
      </w:r>
      <w:r>
        <w:rPr>
          <w:rFonts w:ascii="Times New Roman"/>
          <w:b w:val="false"/>
          <w:i w:val="false"/>
          <w:color w:val="000000"/>
          <w:sz w:val="28"/>
        </w:rPr>
        <w:t xml:space="preserve">у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</w:t>
      </w:r>
      <w:r>
        <w:rPr>
          <w:rFonts w:ascii="Times New Roman"/>
          <w:b w:val="false"/>
          <w:i w:val="false"/>
          <w:color w:val="000000"/>
          <w:sz w:val="28"/>
        </w:rPr>
        <w:t xml:space="preserve">у ручья без названия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створе земельного участка, предназначенного для реализации через аукцион,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2290"/>
        <w:gridCol w:w="1489"/>
        <w:gridCol w:w="2023"/>
        <w:gridCol w:w="2291"/>
        <w:gridCol w:w="1757"/>
        <w:gridCol w:w="1491"/>
      </w:tblGrid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