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66d8" w14:textId="12b6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21 февраля 2020 года № 46/490-VI. Зарегистрировано Департаментом юстиции Туркестанской области 25 февраля 2020 года № 5443.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589 913 513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24 948 611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3 958 504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561 001 075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587 073 924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10 979 314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13 820 863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2 841 549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1 905 075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1 905 075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- 10 044 800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10 044 800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29,6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34,2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36,1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38,5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37,3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46,4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24,1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70,4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65,8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63,9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61,5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62,7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53,6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64,8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75,9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города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97,4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2,6 процента.";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областном бюджете на 2020 год предусмотрены целевые текущие трансферты районным (городов областного значения) бюджетам,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развития человеческого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физической культуры и спорта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природных ресурсов и регулирования природопользования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 акима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предусмотрены целевые трансферты на развитие районным (городов областного значения) бюджетам,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46/490-VI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44/472-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589 913 513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561 001 075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561 001 075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587 073 924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7 739 972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103 051 955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9 566 715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71 393 307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71 393 307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9 478 563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34 785 542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37 666 931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14 539 272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4 408 683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4 537 289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2 725 771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32 815 658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4 534 321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7 453 621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22 909 129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34 611 961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12 496 741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-10 044 800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